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Розширений</w:t>
      </w:r>
      <w:r>
        <w:t xml:space="preserve"> </w:t>
      </w:r>
      <w:r>
        <w:t xml:space="preserve">кристалографічний</w:t>
      </w:r>
      <w:r>
        <w:t xml:space="preserve"> </w:t>
      </w:r>
      <w:r>
        <w:t xml:space="preserve">синтез</w:t>
      </w:r>
      <w:r>
        <w:t xml:space="preserve"> </w:t>
      </w:r>
      <w:r>
        <w:t xml:space="preserve">(v3.1)</w:t>
      </w:r>
    </w:p>
    <w:p>
      <w:pPr>
        <w:pStyle w:val="Subtitle"/>
      </w:pPr>
      <w:r>
        <w:t xml:space="preserve">Дванадцять</w:t>
      </w:r>
      <w:r>
        <w:t xml:space="preserve"> </w:t>
      </w:r>
      <w:r>
        <w:t xml:space="preserve">первинних</w:t>
      </w:r>
      <w:r>
        <w:t xml:space="preserve"> </w:t>
      </w:r>
      <w:r>
        <w:t xml:space="preserve">структур,</w:t>
      </w:r>
      <w:r>
        <w:t xml:space="preserve"> </w:t>
      </w:r>
      <w:r>
        <w:t xml:space="preserve">три</w:t>
      </w:r>
      <w:r>
        <w:t xml:space="preserve"> </w:t>
      </w:r>
      <w:r>
        <w:t xml:space="preserve">альтернативні</w:t>
      </w:r>
      <w:r>
        <w:t xml:space="preserve"> </w:t>
      </w:r>
      <w:r>
        <w:t xml:space="preserve">гілки,</w:t>
      </w:r>
      <w:r>
        <w:t xml:space="preserve"> </w:t>
      </w:r>
      <w:r>
        <w:t xml:space="preserve">шість</w:t>
      </w:r>
      <w:r>
        <w:t xml:space="preserve"> </w:t>
      </w:r>
      <w:r>
        <w:t xml:space="preserve">шляхів</w:t>
      </w:r>
      <w:r>
        <w:t xml:space="preserve"> </w:t>
      </w:r>
      <w:r>
        <w:t xml:space="preserve">розв’язання</w:t>
      </w:r>
      <w:r>
        <w:t xml:space="preserve"> </w:t>
      </w:r>
      <w:r>
        <w:t xml:space="preserve">—</w:t>
      </w:r>
      <w:r>
        <w:t xml:space="preserve"> </w:t>
      </w:r>
      <w:r>
        <w:t xml:space="preserve">узгоджено</w:t>
      </w:r>
      <w:r>
        <w:t xml:space="preserve"> </w:t>
      </w:r>
      <w:r>
        <w:t xml:space="preserve">з</w:t>
      </w:r>
      <w:r>
        <w:t xml:space="preserve"> </w:t>
      </w:r>
      <w:r>
        <w:t xml:space="preserve">CCDR</w:t>
      </w:r>
      <w:r>
        <w:t xml:space="preserve"> </w:t>
      </w:r>
      <w:r>
        <w:t xml:space="preserve">v7.1</w:t>
      </w:r>
      <w:r>
        <w:t xml:space="preserve"> </w:t>
      </w:r>
      <w:r>
        <w:t xml:space="preserve">та</w:t>
      </w:r>
      <w:r>
        <w:t xml:space="preserve"> </w:t>
      </w:r>
      <w:r>
        <w:t xml:space="preserve">зобов’язанням</w:t>
      </w:r>
      <w:r>
        <w:t xml:space="preserve"> </w:t>
      </w:r>
      <w:r>
        <w:t xml:space="preserve">спостереження</w:t>
      </w:r>
      <w:r>
        <w:t xml:space="preserve"> </w:t>
      </w:r>
      <w:r>
        <w:t xml:space="preserve">насамперед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Синтез v3.1 — це поточна архітектура програми дванадцяти структур, трьох гілок, шести шляхів, заякорена на CCDR v7.1. Центральна зміна в v3.1 — формальна переієрархізація: дванадцять структур тепер ранжовані за близькістю до спостережень, а не за логічним пріоритетом. Алгебраїчні маршрути до N (DA/O, HaPPY, AQN-як-підрахунок-секторів) формально понижено до перевірок узгодженості; саме N підвищено до спостережуваної величини, що визначається підрахунком піків прямого виявлення.</w:t>
      </w:r>
    </w:p>
    <w:p>
      <w:pPr>
        <w:pStyle w:val="BodyText"/>
      </w:pPr>
      <w:r>
        <w:t xml:space="preserve">Синтез входить у v3.1 з: одним надійним підтвердженням (локальне a₀ → Мілгром), одним навідним позитивним (густинно-κ кореляція P30 на Euclid Q1), одним навідним високо-z трендом (a₀ → cH₀ при z &gt; 0), одним помірним тимчасовим ранжуванням (N = 6 віддано перевагу перевіркою Ω_DM/Ω_B), кількома відкликаннями, і кількома непротестованими-з-поточними-даними прогнозами. Архітектура залишається стабільною; жоден шар не спростовано.</w:t>
      </w:r>
    </w:p>
    <w:bookmarkEnd w:id="20"/>
    <w:bookmarkStart w:id="21" w:name="Xe1e3d9e92f8542ccaf5eaf72dd8e359fc1efda0"/>
    <w:p>
      <w:pPr>
        <w:pStyle w:val="Heading1"/>
      </w:pPr>
      <w:r>
        <w:t xml:space="preserve">1. Дванадцять первинних структур, ранжованих за близькістю до спостережень</w:t>
      </w:r>
    </w:p>
    <w:p>
      <w:pPr>
        <w:pStyle w:val="FirstParagraph"/>
      </w:pPr>
      <w:r>
        <w:rPr>
          <w:bCs/>
          <w:b/>
        </w:rPr>
        <w:t xml:space="preserve">Рівень 1 — Спостережувально заякорені.</w:t>
      </w:r>
    </w:p>
    <w:p>
      <w:pPr>
        <w:pStyle w:val="BodyText"/>
      </w:pPr>
      <w:r>
        <w:rPr>
          <w:iCs/>
          <w:i/>
        </w:rPr>
        <w:t xml:space="preserve">1.1 CCDR (2026).</w:t>
      </w:r>
      <w:r>
        <w:t xml:space="preserve"> </w:t>
      </w:r>
      <w:r>
        <w:t xml:space="preserve">Об’єднуючий принцип χ → 1 запускає вимірнісну редукцію. Закріплено локальним a₀ → Мілгром підтвердженням та навідним κ-сигналом Euclid Q1. CCDR v7.1 — поточна форма.</w:t>
      </w:r>
    </w:p>
    <w:p>
      <w:pPr>
        <w:pStyle w:val="BodyText"/>
      </w:pPr>
      <w:r>
        <w:rPr>
          <w:iCs/>
          <w:i/>
        </w:rPr>
        <w:t xml:space="preserve">1.2 RVM — Shapiro &amp; Solà (2002).</w:t>
      </w:r>
      <w:r>
        <w:t xml:space="preserve"> </w:t>
      </w:r>
      <w:r>
        <w:t xml:space="preserve">Закріплено спільною Planck + Pantheon+ + DESI DR2 підгонкою ν, з застереженням, що сигнал керовано низько-z SN. Несе ν у діапазоні 10⁻³ ≤ ν ≤ 10⁻².</w:t>
      </w:r>
    </w:p>
    <w:p>
      <w:pPr>
        <w:pStyle w:val="BodyText"/>
      </w:pPr>
      <w:r>
        <w:rPr>
          <w:iCs/>
          <w:i/>
        </w:rPr>
        <w:t xml:space="preserve">1.3 AS — Weinberg (1979), Reuter (1998).</w:t>
      </w:r>
      <w:r>
        <w:t xml:space="preserve"> </w:t>
      </w:r>
      <w:r>
        <w:t xml:space="preserve">Закріплено непрямо через зв’язок коефіцієнта біжучого вакууму з однопетлевою RG матеріальних полів.</w:t>
      </w:r>
    </w:p>
    <w:p>
      <w:pPr>
        <w:pStyle w:val="BodyText"/>
      </w:pPr>
      <w:r>
        <w:rPr>
          <w:bCs/>
          <w:b/>
        </w:rPr>
        <w:t xml:space="preserve">Рівень 2 — Структурно зобов’язані, емпіричний тест очікується.</w:t>
      </w:r>
    </w:p>
    <w:p>
      <w:pPr>
        <w:pStyle w:val="BodyText"/>
      </w:pPr>
      <w:r>
        <w:rPr>
          <w:iCs/>
          <w:i/>
        </w:rPr>
        <w:t xml:space="preserve">1.4 CDT.</w:t>
      </w:r>
      <w:r>
        <w:t xml:space="preserve"> </w:t>
      </w:r>
      <w:r>
        <w:t xml:space="preserve">Симпліціальний інтеграл шляху; надає мікроскопічну геометрію.</w:t>
      </w:r>
    </w:p>
    <w:p>
      <w:pPr>
        <w:pStyle w:val="BodyText"/>
      </w:pPr>
      <w:r>
        <w:rPr>
          <w:iCs/>
          <w:i/>
        </w:rPr>
        <w:t xml:space="preserve">1.5 TN.</w:t>
      </w:r>
      <w:r>
        <w:t xml:space="preserve"> </w:t>
      </w:r>
      <w:r>
        <w:t xml:space="preserve">Тензорно-мережева реалізація голографічних законів площі. Обмежено до фінальної k = 4 стадії.</w:t>
      </w:r>
    </w:p>
    <w:p>
      <w:pPr>
        <w:pStyle w:val="BodyText"/>
      </w:pPr>
      <w:r>
        <w:rPr>
          <w:iCs/>
          <w:i/>
        </w:rPr>
        <w:t xml:space="preserve">1.6 GFT + EPRL.</w:t>
      </w:r>
      <w:r>
        <w:t xml:space="preserve"> </w:t>
      </w:r>
      <w:r>
        <w:t xml:space="preserve">Конденсат групової теорії поля як континуальна межа CDT.</w:t>
      </w:r>
    </w:p>
    <w:p>
      <w:pPr>
        <w:pStyle w:val="BodyText"/>
      </w:pPr>
      <w:r>
        <w:rPr>
          <w:iCs/>
          <w:i/>
        </w:rPr>
        <w:t xml:space="preserve">1.7 TGFT-RG.</w:t>
      </w:r>
      <w:r>
        <w:t xml:space="preserve"> </w:t>
      </w:r>
      <w:r>
        <w:t xml:space="preserve">Вільсонівська RG для тензорної групової теорії поля. Розблоковано.</w:t>
      </w:r>
    </w:p>
    <w:p>
      <w:pPr>
        <w:pStyle w:val="BodyText"/>
      </w:pPr>
      <w:r>
        <w:rPr>
          <w:iCs/>
          <w:i/>
        </w:rPr>
        <w:t xml:space="preserve">1.8 SSM.</w:t>
      </w:r>
      <w:r>
        <w:t xml:space="preserve"> </w:t>
      </w:r>
      <w:r>
        <w:t xml:space="preserve">Спектральна стандартна модель. У v3.1 несе структурне зобов’язання секторо-залежних масштабів кристалізації для Койде.</w:t>
      </w:r>
    </w:p>
    <w:p>
      <w:pPr>
        <w:pStyle w:val="BodyText"/>
      </w:pPr>
      <w:r>
        <w:rPr>
          <w:bCs/>
          <w:b/>
        </w:rPr>
        <w:t xml:space="preserve">Рівень 3 — Алгебраїчні/структурні, перевірки узгодженості.</w:t>
      </w:r>
    </w:p>
    <w:p>
      <w:pPr>
        <w:pStyle w:val="BodyText"/>
      </w:pPr>
      <w:r>
        <w:rPr>
          <w:iCs/>
          <w:i/>
        </w:rPr>
        <w:t xml:space="preserve">1.9 AQN.</w:t>
      </w:r>
      <w:r>
        <w:t xml:space="preserve"> </w:t>
      </w:r>
      <w:r>
        <w:t xml:space="preserve">Аксіон-кваркові нагетси як кристалічні дефекти. Внесок в Ω_4; не рахує темні сектори в v3.1.</w:t>
      </w:r>
    </w:p>
    <w:p>
      <w:pPr>
        <w:pStyle w:val="BodyText"/>
      </w:pPr>
      <w:r>
        <w:rPr>
          <w:iCs/>
          <w:i/>
        </w:rPr>
        <w:t xml:space="preserve">1.10 DA/O.</w:t>
      </w:r>
      <w:r>
        <w:t xml:space="preserve"> </w:t>
      </w:r>
      <w:r>
        <w:t xml:space="preserve">C ⊗ H ⊗ O → SU(3) × SU(2) × U(1). Надає верхню межу N ≤ 11. Більше не використовується для фіксації N.</w:t>
      </w:r>
    </w:p>
    <w:p>
      <w:pPr>
        <w:pStyle w:val="BodyText"/>
      </w:pPr>
      <w:r>
        <w:rPr>
          <w:iCs/>
          <w:i/>
        </w:rPr>
        <w:t xml:space="preserve">1.11 HaPPY.</w:t>
      </w:r>
      <w:r>
        <w:t xml:space="preserve"> </w:t>
      </w:r>
      <w:r>
        <w:t xml:space="preserve">Обмежено до фінальної стадії; v1 калібрування</w:t>
      </w:r>
      <w:r>
        <w:t xml:space="preserve"> </w:t>
      </w:r>
      <w:r>
        <w:t xml:space="preserve">“</w:t>
      </w:r>
      <w:r>
        <w:t xml:space="preserve">N = 6 з вимірності коду HaPPY</w:t>
      </w:r>
      <w:r>
        <w:t xml:space="preserve">”</w:t>
      </w:r>
      <w:r>
        <w:t xml:space="preserve"> </w:t>
      </w:r>
      <w:r>
        <w:t xml:space="preserve">видалено.</w:t>
      </w:r>
    </w:p>
    <w:p>
      <w:pPr>
        <w:pStyle w:val="BodyText"/>
      </w:pPr>
      <w:r>
        <w:rPr>
          <w:iCs/>
          <w:i/>
        </w:rPr>
        <w:t xml:space="preserve">1.12 LGT.</w:t>
      </w:r>
      <w:r>
        <w:t xml:space="preserve"> </w:t>
      </w:r>
      <w:r>
        <w:t xml:space="preserve">Ґраткова теорія калібрування як обчислювальний рушій.</w:t>
      </w:r>
    </w:p>
    <w:bookmarkEnd w:id="21"/>
    <w:bookmarkStart w:id="22" w:name="три-альтернативні-гілки"/>
    <w:p>
      <w:pPr>
        <w:pStyle w:val="Heading1"/>
      </w:pPr>
      <w:r>
        <w:t xml:space="preserve">2. Три альтернативні гілки</w:t>
      </w:r>
    </w:p>
    <w:p>
      <w:pPr>
        <w:pStyle w:val="FirstParagraph"/>
      </w:pPr>
      <w:r>
        <w:rPr>
          <w:bCs/>
          <w:b/>
        </w:rPr>
        <w:t xml:space="preserve">2.1 CST ↔ CDT.</w:t>
      </w:r>
      <w:r>
        <w:t xml:space="preserve"> </w:t>
      </w:r>
      <w:r>
        <w:t xml:space="preserve">Простір-час як локально скінченний посет. Природна відповідність v7.1 локально запущеним редукціям.</w:t>
      </w:r>
    </w:p>
    <w:p>
      <w:pPr>
        <w:pStyle w:val="BodyText"/>
      </w:pPr>
      <w:r>
        <w:rPr>
          <w:bCs/>
          <w:b/>
        </w:rPr>
        <w:t xml:space="preserve">2.2 EG ↔ CDT + TN.</w:t>
      </w:r>
      <w:r>
        <w:t xml:space="preserve"> </w:t>
      </w:r>
      <w:r>
        <w:t xml:space="preserve">Рівняння Ейнштейна з δQ = T dS. Локальне a₀ → Мілгром підтвердження закріплюється в EG території так само, як і в CCDR.</w:t>
      </w:r>
    </w:p>
    <w:p>
      <w:pPr>
        <w:pStyle w:val="BodyText"/>
      </w:pPr>
      <w:r>
        <w:rPr>
          <w:bCs/>
          <w:b/>
        </w:rPr>
        <w:t xml:space="preserve">2.3 CFS ↔ CDT.</w:t>
      </w:r>
      <w:r>
        <w:t xml:space="preserve"> </w:t>
      </w:r>
      <w:r>
        <w:t xml:space="preserve">Простір-час з операторної міри. Найгнучкіша гілка.</w:t>
      </w:r>
    </w:p>
    <w:bookmarkEnd w:id="22"/>
    <w:bookmarkStart w:id="23" w:name="шість-шляхів-розвязання"/>
    <w:p>
      <w:pPr>
        <w:pStyle w:val="Heading1"/>
      </w:pPr>
      <w:r>
        <w:t xml:space="preserve">3. Шість шляхів розв’язання</w:t>
      </w:r>
    </w:p>
    <w:p>
      <w:pPr>
        <w:pStyle w:val="FirstParagraph"/>
      </w:pPr>
      <w:r>
        <w:t xml:space="preserve">Всі</w:t>
      </w:r>
      <w:r>
        <w:t xml:space="preserve"> </w:t>
      </w:r>
      <w:r>
        <w:rPr>
          <w:iCs/>
          <w:i/>
        </w:rPr>
        <w:t xml:space="preserve">незмінні за структурою</w:t>
      </w:r>
      <w:r>
        <w:t xml:space="preserve"> </w:t>
      </w:r>
      <w:r>
        <w:t xml:space="preserve">з v2.3. Аудит ν тепер закрито; обидва шляхи (1 і 6) розблоковано, їх терміновість помірковано через ймовірну систематичну природу сигналу ν.</w:t>
      </w:r>
    </w:p>
    <w:p>
      <w:pPr>
        <w:pStyle w:val="BodyText"/>
      </w:pPr>
      <w:r>
        <w:rPr>
          <w:bCs/>
          <w:b/>
        </w:rPr>
        <w:t xml:space="preserve">3.1 Шлях 1</w:t>
      </w:r>
      <w:r>
        <w:t xml:space="preserve"> </w:t>
      </w:r>
      <w:r>
        <w:t xml:space="preserve">— Свомпленд → часування каскаду. Розблоковано; не виконано. Терміни 1–2 роки.</w:t>
      </w:r>
    </w:p>
    <w:p>
      <w:pPr>
        <w:pStyle w:val="BodyText"/>
      </w:pPr>
      <w:r>
        <w:rPr>
          <w:bCs/>
          <w:b/>
        </w:rPr>
        <w:t xml:space="preserve">3.2 Шлях 2</w:t>
      </w:r>
      <w:r>
        <w:t xml:space="preserve"> </w:t>
      </w:r>
      <w:r>
        <w:t xml:space="preserve">— Дискретні ароматові симетрії → нейтринна ієрархія. Незмінно. Терміни 2–5 років.</w:t>
      </w:r>
    </w:p>
    <w:p>
      <w:pPr>
        <w:pStyle w:val="BodyText"/>
      </w:pPr>
      <w:r>
        <w:rPr>
          <w:bCs/>
          <w:b/>
        </w:rPr>
        <w:t xml:space="preserve">3.3 Шлях 3</w:t>
      </w:r>
      <w:r>
        <w:t xml:space="preserve"> </w:t>
      </w:r>
      <w:r>
        <w:t xml:space="preserve">— CST Sorkin counting + Hartle–Hawking на CDT → C₀. Терміни 3–5 років.</w:t>
      </w:r>
    </w:p>
    <w:p>
      <w:pPr>
        <w:pStyle w:val="BodyText"/>
      </w:pPr>
      <w:r>
        <w:rPr>
          <w:bCs/>
          <w:b/>
        </w:rPr>
        <w:t xml:space="preserve">3.4 Шлях 4</w:t>
      </w:r>
      <w:r>
        <w:t xml:space="preserve"> </w:t>
      </w:r>
      <w:r>
        <w:t xml:space="preserve">— Алгебраїчна ренормалізація з оверлеп Дірак на CDT → сильна CP. Терміни 3–7 років.</w:t>
      </w:r>
    </w:p>
    <w:p>
      <w:pPr>
        <w:pStyle w:val="BodyText"/>
      </w:pPr>
      <w:r>
        <w:rPr>
          <w:bCs/>
          <w:b/>
        </w:rPr>
        <w:t xml:space="preserve">3.5 Шлях 5</w:t>
      </w:r>
      <w:r>
        <w:t xml:space="preserve"> </w:t>
      </w:r>
      <w:r>
        <w:t xml:space="preserve">— Діосі–Пенроуз гравітаційний колапс → квантове вимірювання. Тестовано на поточних масових масштабах, верифікація 5–10 років.</w:t>
      </w:r>
    </w:p>
    <w:p>
      <w:pPr>
        <w:pStyle w:val="BodyText"/>
      </w:pPr>
      <w:r>
        <w:rPr>
          <w:bCs/>
          <w:b/>
        </w:rPr>
        <w:t xml:space="preserve">3.6 Шлях 6</w:t>
      </w:r>
      <w:r>
        <w:t xml:space="preserve"> </w:t>
      </w:r>
      <w:r>
        <w:t xml:space="preserve">— Бар–Штайнгаус спін-пінна RG → TGFT-RG для EPRL. Розблоковано.</w:t>
      </w:r>
    </w:p>
    <w:bookmarkEnd w:id="23"/>
    <w:bookmarkStart w:id="24" w:name="шарова-спростовність"/>
    <w:p>
      <w:pPr>
        <w:pStyle w:val="Heading1"/>
      </w:pPr>
      <w:r>
        <w:t xml:space="preserve">4. Шарова спростовність</w:t>
      </w:r>
    </w:p>
    <w:p>
      <w:pPr>
        <w:pStyle w:val="FirstParagraph"/>
      </w:pPr>
      <w:r>
        <w:rPr>
          <w:bCs/>
          <w:b/>
        </w:rPr>
        <w:t xml:space="preserve">Шар 0 — CDT + каскадне ядро.</w:t>
      </w:r>
      <w:r>
        <w:t xml:space="preserve"> </w:t>
      </w:r>
      <w:r>
        <w:t xml:space="preserve">Непротестовано. Аудит готовності раунду 4: 82 ресурси, 126 таблиць, нуль у вікні 0.5–3 ТеВ.</w:t>
      </w:r>
    </w:p>
    <w:p>
      <w:pPr>
        <w:pStyle w:val="BodyText"/>
      </w:pPr>
      <w:r>
        <w:rPr>
          <w:bCs/>
          <w:b/>
        </w:rPr>
        <w:t xml:space="preserve">Шар 1 — GFT + TGFT-RG.</w:t>
      </w:r>
      <w:r>
        <w:t xml:space="preserve"> </w:t>
      </w:r>
      <w:r>
        <w:t xml:space="preserve">Аудит ν закрито при 10⁻³–10⁻², центральне значення ймовірно низько-z систематичне.</w:t>
      </w:r>
    </w:p>
    <w:p>
      <w:pPr>
        <w:pStyle w:val="BodyText"/>
      </w:pPr>
      <w:r>
        <w:rPr>
          <w:bCs/>
          <w:b/>
        </w:rPr>
        <w:t xml:space="preserve">Шар 2 — TN + HaPPY.</w:t>
      </w:r>
      <w:r>
        <w:t xml:space="preserve"> </w:t>
      </w:r>
      <w:r>
        <w:t xml:space="preserve">Непротестовано.</w:t>
      </w:r>
    </w:p>
    <w:p>
      <w:pPr>
        <w:pStyle w:val="BodyText"/>
      </w:pPr>
      <w:r>
        <w:rPr>
          <w:bCs/>
          <w:b/>
        </w:rPr>
        <w:t xml:space="preserve">Шар 3 — SSM + AS + DA/O.</w:t>
      </w:r>
      <w:r>
        <w:t xml:space="preserve"> </w:t>
      </w:r>
      <w:r>
        <w:t xml:space="preserve">Сумісно з усіма даними.</w:t>
      </w:r>
    </w:p>
    <w:p>
      <w:pPr>
        <w:pStyle w:val="BodyText"/>
      </w:pPr>
      <w:r>
        <w:rPr>
          <w:bCs/>
          <w:b/>
        </w:rPr>
        <w:t xml:space="preserve">Шар 4 — RVM + CCDR.</w:t>
      </w:r>
      <w:r>
        <w:t xml:space="preserve"> </w:t>
      </w:r>
      <w:r>
        <w:t xml:space="preserve">Частково підтверджено: a₀ → Мілгром (міцно); густинно-κ кореляція (навідна, до реплікації); високо-z a₀ → cH₀ (мала вибірка).</w:t>
      </w:r>
    </w:p>
    <w:p>
      <w:pPr>
        <w:pStyle w:val="BodyText"/>
      </w:pPr>
      <w:r>
        <w:rPr>
          <w:bCs/>
          <w:b/>
        </w:rPr>
        <w:t xml:space="preserve">Шар 5 — Баріогенез.</w:t>
      </w:r>
      <w:r>
        <w:t xml:space="preserve"> </w:t>
      </w:r>
      <w:r>
        <w:t xml:space="preserve">η ~ ν × δ_CP × f_geo ~ 10⁻¹⁰.</w:t>
      </w:r>
    </w:p>
    <w:p>
      <w:pPr>
        <w:pStyle w:val="BodyText"/>
      </w:pPr>
      <w:r>
        <w:rPr>
          <w:bCs/>
          <w:b/>
        </w:rPr>
        <w:t xml:space="preserve">Жоден шар наразі не спростовано.</w:t>
      </w:r>
    </w:p>
    <w:bookmarkEnd w:id="24"/>
    <w:bookmarkStart w:id="25" w:name="X1826362caf870100918890a0477670fad87ec3c"/>
    <w:p>
      <w:pPr>
        <w:pStyle w:val="Heading1"/>
      </w:pPr>
      <w:r>
        <w:t xml:space="preserve">5. Перекласифікація</w:t>
      </w:r>
      <w:r>
        <w:t xml:space="preserve"> </w:t>
      </w:r>
      <w:r>
        <w:t xml:space="preserve">“</w:t>
      </w:r>
      <w:r>
        <w:t xml:space="preserve">спостереження насамперед</w:t>
      </w:r>
      <w:r>
        <w:t xml:space="preserve">”</w:t>
      </w:r>
    </w:p>
    <w:p>
      <w:pPr>
        <w:pStyle w:val="FirstParagraph"/>
      </w:pPr>
      <w:r>
        <w:t xml:space="preserve">Найбільш значуща архітектурна зміна у v3.1 стосується N. v3.1 завершує перехід:</w:t>
      </w:r>
    </w:p>
    <w:p>
      <w:pPr>
        <w:pStyle w:val="BodyText"/>
      </w:pPr>
      <w:r>
        <w:rPr>
          <w:bCs/>
          <w:b/>
        </w:rPr>
        <w:t xml:space="preserve">N — це спостережувана величина, що визначається підрахунком піків у прямому виявленні.</w:t>
      </w:r>
      <w:r>
        <w:t xml:space="preserve"> </w:t>
      </w:r>
      <w:r>
        <w:t xml:space="preserve">Алгебраїчні побудови — це перевірки узгодженості. Вони повідомляються і відстежуються. Вони не використовуються для фіксації N перед вирішальним експериментом.</w:t>
      </w:r>
    </w:p>
    <w:p>
      <w:pPr>
        <w:pStyle w:val="BodyText"/>
      </w:pPr>
      <w:r>
        <w:t xml:space="preserve">Фреймворк зобов’язується прийняти відповідь прямого виявлення, якою б вона не виявилася. Алгебраїчні маршрути надають</w:t>
      </w:r>
      <w:r>
        <w:t xml:space="preserve"> </w:t>
      </w:r>
      <w:r>
        <w:rPr>
          <w:iCs/>
          <w:i/>
        </w:rPr>
        <w:t xml:space="preserve">апріорі</w:t>
      </w:r>
      <w:r>
        <w:t xml:space="preserve"> </w:t>
      </w:r>
      <w:r>
        <w:t xml:space="preserve">N = 6, інформативне, але не зобов’язувальне. Якщо підрахунок піків поверне інше значення, алгебраїчні маршрути хибні, а не виявлення.</w:t>
      </w:r>
    </w:p>
    <w:bookmarkEnd w:id="25"/>
    <w:bookmarkStart w:id="26" w:name="X54bbf7a0d1c4405979be20f3ef6a645cf3051ea"/>
    <w:p>
      <w:pPr>
        <w:pStyle w:val="Heading1"/>
      </w:pPr>
      <w:r>
        <w:t xml:space="preserve">6. Результати раунду 4 та їхні наслідки на рівні синтезу</w:t>
      </w:r>
    </w:p>
    <w:p>
      <w:pPr>
        <w:pStyle w:val="FirstParagraph"/>
      </w:pPr>
      <w:r>
        <w:t xml:space="preserve">Раунд 4 (шеститестова батарея Euclid Q1) дав: один навідний позитивний (Тест 1 на P30), один сумісний-але-не-підтверджуючий (Тест 2 на P3), один навідний тренд (Тест 5 на високо-z a₀), і три нульові-або-слабкі (Тести 3, 4, 6).</w:t>
      </w:r>
    </w:p>
    <w:p>
      <w:pPr>
        <w:pStyle w:val="BodyText"/>
      </w:pPr>
      <w:r>
        <w:rPr>
          <w:bCs/>
          <w:b/>
        </w:rPr>
        <w:t xml:space="preserve">Висновок на рівні синтезу:</w:t>
      </w:r>
      <w:r>
        <w:t xml:space="preserve"> </w:t>
      </w:r>
      <w:r>
        <w:t xml:space="preserve">Шар 4 — єдиний шар з активними емпіричними сигналами. Кожен сигнал поки що сумісний з прогнозами фреймворку</w:t>
      </w:r>
      <w:r>
        <w:t xml:space="preserve"> </w:t>
      </w:r>
      <w:r>
        <w:rPr>
          <w:iCs/>
          <w:i/>
        </w:rPr>
        <w:t xml:space="preserve">у напрямку</w:t>
      </w:r>
      <w:r>
        <w:t xml:space="preserve">, і або в, або нижче нижнього кінця теоретичного діапазону амплітуд (сумісно з ν ≈ 10⁻³). Це протилежне того шаблону, який очікувався б від шуму чи ефекту відбору.</w:t>
      </w:r>
    </w:p>
    <w:p>
      <w:pPr>
        <w:pStyle w:val="BodyText"/>
      </w:pPr>
      <w:r>
        <w:t xml:space="preserve">Застереження: незалежна реплікація ще не досягнута для сигналу P30, а тренд високо-z a₀ походить з шеститочкової вибірки. Жоден ще не є відкриттям. Обидва — пріоритетні цілі для раунду 5.</w:t>
      </w:r>
    </w:p>
    <w:bookmarkEnd w:id="26"/>
    <w:bookmarkStart w:id="27" w:name="Xa980cec3ce07bb9c7ec0f7648710f4f13f03911"/>
    <w:p>
      <w:pPr>
        <w:pStyle w:val="Heading1"/>
      </w:pPr>
      <w:r>
        <w:t xml:space="preserve">7. Пріоритетні експериментальні цілі для раунду 5</w:t>
      </w:r>
    </w:p>
    <w:p>
      <w:pPr>
        <w:pStyle w:val="FirstParagraph"/>
      </w:pPr>
      <w:r>
        <w:rPr>
          <w:bCs/>
          <w:b/>
        </w:rPr>
        <w:t xml:space="preserve">7.1</w:t>
      </w:r>
      <w:r>
        <w:t xml:space="preserve"> </w:t>
      </w:r>
      <w:r>
        <w:t xml:space="preserve">Незалежна реплікація густинно-κ кореляції Euclid Q1 на не-Euclid каталозі лінзування.</w:t>
      </w:r>
    </w:p>
    <w:p>
      <w:pPr>
        <w:pStyle w:val="BodyText"/>
      </w:pPr>
      <w:r>
        <w:rPr>
          <w:bCs/>
          <w:b/>
        </w:rPr>
        <w:t xml:space="preserve">7.2</w:t>
      </w:r>
      <w:r>
        <w:t xml:space="preserve"> </w:t>
      </w:r>
      <w:r>
        <w:t xml:space="preserve">Повний аудит систематик переднього плану сигналу κ Тесту 1.</w:t>
      </w:r>
    </w:p>
    <w:p>
      <w:pPr>
        <w:pStyle w:val="BodyText"/>
      </w:pPr>
      <w:r>
        <w:rPr>
          <w:bCs/>
          <w:b/>
        </w:rPr>
        <w:t xml:space="preserve">7.3</w:t>
      </w:r>
      <w:r>
        <w:t xml:space="preserve"> </w:t>
      </w:r>
      <w:r>
        <w:t xml:space="preserve">Розширення тесту високо-z a₀ до каталог-масштабної вибірки (~100+ кривих обертання при z &gt; 0.3).</w:t>
      </w:r>
    </w:p>
    <w:p>
      <w:pPr>
        <w:pStyle w:val="BodyText"/>
      </w:pPr>
      <w:r>
        <w:rPr>
          <w:bCs/>
          <w:b/>
        </w:rPr>
        <w:t xml:space="preserve">7.4</w:t>
      </w:r>
      <w:r>
        <w:t xml:space="preserve"> </w:t>
      </w:r>
      <w:r>
        <w:t xml:space="preserve">Перевиведення ν з DESI DR3 з уніфікованим конвеєром.</w:t>
      </w:r>
    </w:p>
    <w:p>
      <w:pPr>
        <w:pStyle w:val="BodyText"/>
      </w:pPr>
      <w:r>
        <w:rPr>
          <w:bCs/>
          <w:b/>
        </w:rPr>
        <w:t xml:space="preserve">7.5</w:t>
      </w:r>
      <w:r>
        <w:t xml:space="preserve"> </w:t>
      </w:r>
      <w:r>
        <w:t xml:space="preserve">Виконання Бара–Штайнгауса спін-пінної RG стадія за стадією (Шлях розв’язання 6) як чисто теоретичного обчислення.</w:t>
      </w:r>
    </w:p>
    <w:p>
      <w:pPr>
        <w:pStyle w:val="BodyText"/>
      </w:pPr>
      <w:r>
        <w:rPr>
          <w:bCs/>
          <w:b/>
        </w:rPr>
        <w:t xml:space="preserve">7.6</w:t>
      </w:r>
      <w:r>
        <w:t xml:space="preserve"> </w:t>
      </w:r>
      <w:r>
        <w:t xml:space="preserve">Глибокий аудит HEPData / колабораційного рівня меж прямого виявлення, що наближаються до вікна 0.5–3 ТеВ.</w:t>
      </w:r>
    </w:p>
    <w:p>
      <w:pPr>
        <w:pStyle w:val="BodyText"/>
      </w:pPr>
      <w:r>
        <w:t xml:space="preserve">Фреймворк наразі не володіє чутливістю для запуску діагностичного тесту. Натомість він накопичує периферійні сигнали, кожен з яких окремо скромний, але всі разом шаблонно-сумісні з каскадним прогнозом.</w:t>
      </w:r>
    </w:p>
    <w:bookmarkEnd w:id="27"/>
    <w:bookmarkStart w:id="28" w:name="висновок"/>
    <w:p>
      <w:pPr>
        <w:pStyle w:val="Heading1"/>
      </w:pPr>
      <w:r>
        <w:t xml:space="preserve">8. Висновок</w:t>
      </w:r>
    </w:p>
    <w:p>
      <w:pPr>
        <w:pStyle w:val="FirstParagraph"/>
      </w:pPr>
      <w:r>
        <w:t xml:space="preserve">Синтез v3.1 — це архітектурно збережена, спостережувально переорієнтована версія програми v1 дванадцяти структур. Після чотирьох раундів тестування на публічних даних чесний рахунок: одне надійне підтвердження, три навідні позитиви (один з них найсильніший новий сигнал кампанії, інший з малою вибіркою), одне тимчасове ранжування N, і кілька чистих відкликань або застережень. Жоден шар не спростовано. Каскадне тверде ядро — діагностичний тест, що залишається, і він чекає на наступне покоління прямого виявлення.</w:t>
      </w:r>
    </w:p>
    <w:p>
      <w:pPr>
        <w:pStyle w:val="BodyText"/>
      </w:pPr>
      <w:r>
        <w:t xml:space="preserve">Фреймворк зобов’язаний спостереженню. Алгебраїчні збіги повідомляються і відстежуються. Вони не фіксують N, ν або будь-який інший параметр, де існують дані. Де даних ще немає, параметри несуться як діапазони, і фреймворк заздалегідь зобов’язується прийняти емпіричну відповідь, коли вона надійде.</w:t>
      </w:r>
    </w:p>
    <w:p>
      <w:pPr>
        <w:pStyle w:val="BodyText"/>
      </w:pPr>
      <w:r>
        <w:t xml:space="preserve">Це дослідницька програма з чітким твердим ядром, прозорим рахунком, і зобов’язанням до спростовності навіть ціною риторичної сили.</w:t>
      </w:r>
    </w:p>
    <w:bookmarkEnd w:id="28"/>
    <w:bookmarkStart w:id="29" w:name="посилання"/>
    <w:p>
      <w:pPr>
        <w:pStyle w:val="Heading1"/>
      </w:pPr>
      <w:r>
        <w:t xml:space="preserve">Посилання</w:t>
      </w:r>
    </w:p>
    <w:p>
      <w:pPr>
        <w:pStyle w:val="FirstParagraph"/>
      </w:pPr>
      <w:r>
        <w:t xml:space="preserve">Як у v2.3 / v3, плюс шеститестова батарея раунду 4 Euclid Q1.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Розширений кристалографічний синтез (v3.1)</dc:title>
  <dc:creator>[Імена авторів приховано]</dc:creator>
  <dc:language>uk</dc:language>
  <cp:keywords/>
  <dcterms:created xsi:type="dcterms:W3CDTF">2026-04-16T10:17:34Z</dcterms:created>
  <dcterms:modified xsi:type="dcterms:W3CDTF">2026-04-16T10:17:34Z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Дванадцять первинних структур, три альтернативні гілки, шість шляхів розв’язання — узгоджено з CCDR v7.1 та зобов’язанням спостереження насамперед</vt:lpwstr>
  </property>
</Properties>
</file>