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Extended</w:t>
      </w:r>
      <w:r>
        <w:t xml:space="preserve"> </w:t>
      </w:r>
      <w:r>
        <w:t xml:space="preserve">Crystallographic</w:t>
      </w:r>
      <w:r>
        <w:t xml:space="preserve"> </w:t>
      </w:r>
      <w:r>
        <w:t xml:space="preserve">Synthesis</w:t>
      </w:r>
      <w:r>
        <w:t xml:space="preserve"> </w:t>
      </w:r>
      <w:r>
        <w:t xml:space="preserve">(v3.1)</w:t>
      </w:r>
    </w:p>
    <w:p>
      <w:pPr>
        <w:pStyle w:val="Subtitle"/>
      </w:pPr>
      <w:r>
        <w:t xml:space="preserve">Twelve</w:t>
      </w:r>
      <w:r>
        <w:t xml:space="preserve"> </w:t>
      </w:r>
      <w:r>
        <w:t xml:space="preserve">Primary</w:t>
      </w:r>
      <w:r>
        <w:t xml:space="preserve"> </w:t>
      </w:r>
      <w:r>
        <w:t xml:space="preserve">Frameworks,</w:t>
      </w:r>
      <w:r>
        <w:t xml:space="preserve"> </w:t>
      </w:r>
      <w:r>
        <w:t xml:space="preserve">Three</w:t>
      </w:r>
      <w:r>
        <w:t xml:space="preserve"> </w:t>
      </w:r>
      <w:r>
        <w:t xml:space="preserve">Alternative</w:t>
      </w:r>
      <w:r>
        <w:t xml:space="preserve"> </w:t>
      </w:r>
      <w:r>
        <w:t xml:space="preserve">Branches,</w:t>
      </w:r>
      <w:r>
        <w:t xml:space="preserve"> </w:t>
      </w:r>
      <w:r>
        <w:t xml:space="preserve">Six</w:t>
      </w:r>
      <w:r>
        <w:t xml:space="preserve"> </w:t>
      </w:r>
      <w:r>
        <w:t xml:space="preserve">Resolution</w:t>
      </w:r>
      <w:r>
        <w:t xml:space="preserve"> </w:t>
      </w:r>
      <w:r>
        <w:t xml:space="preserve">Paths</w:t>
      </w:r>
      <w:r>
        <w:t xml:space="preserve"> </w:t>
      </w:r>
      <w:r>
        <w:t xml:space="preserve">—</w:t>
      </w:r>
      <w:r>
        <w:t xml:space="preserve"> </w:t>
      </w:r>
      <w:r>
        <w:t xml:space="preserve">Aligned</w:t>
      </w:r>
      <w:r>
        <w:t xml:space="preserve"> </w:t>
      </w:r>
      <w:r>
        <w:t xml:space="preserve">with</w:t>
      </w:r>
      <w:r>
        <w:t xml:space="preserve"> </w:t>
      </w:r>
      <w:r>
        <w:t xml:space="preserve">CCDR</w:t>
      </w:r>
      <w:r>
        <w:t xml:space="preserve"> </w:t>
      </w:r>
      <w:r>
        <w:t xml:space="preserve">v7.1</w:t>
      </w:r>
      <w:r>
        <w:t xml:space="preserve"> </w:t>
      </w:r>
      <w:r>
        <w:t xml:space="preserve">and</w:t>
      </w:r>
      <w:r>
        <w:t xml:space="preserve"> </w:t>
      </w:r>
      <w:r>
        <w:t xml:space="preserve">the</w:t>
      </w:r>
      <w:r>
        <w:t xml:space="preserve"> </w:t>
      </w:r>
      <w:r>
        <w:t xml:space="preserve">Observable-First</w:t>
      </w:r>
      <w:r>
        <w:t xml:space="preserve"> </w:t>
      </w:r>
      <w:r>
        <w:t xml:space="preserve">Commitment</w:t>
      </w:r>
    </w:p>
    <w:p>
      <w:pPr>
        <w:pStyle w:val="Author"/>
      </w:pPr>
      <w:r>
        <w:t xml:space="preserve">[Author</w:t>
      </w:r>
      <w:r>
        <w:t xml:space="preserve"> </w:t>
      </w:r>
      <w:r>
        <w:t xml:space="preserve">names</w:t>
      </w:r>
      <w:r>
        <w:t xml:space="preserve"> </w:t>
      </w:r>
      <w:r>
        <w:t xml:space="preserve">withheld]</w:t>
      </w:r>
    </w:p>
    <w:p>
      <w:pPr>
        <w:pStyle w:val="Date"/>
      </w:pPr>
      <w:r>
        <w:t xml:space="preserve">April</w:t>
      </w:r>
      <w:r>
        <w:t xml:space="preserve"> </w:t>
      </w:r>
      <w:r>
        <w:t xml:space="preserve">2026</w:t>
      </w:r>
    </w:p>
    <w:bookmarkStart w:id="20" w:name="abstract"/>
    <w:p>
      <w:pPr>
        <w:pStyle w:val="Heading1"/>
      </w:pPr>
      <w:r>
        <w:t xml:space="preserve">Abstract</w:t>
      </w:r>
    </w:p>
    <w:p>
      <w:pPr>
        <w:pStyle w:val="FirstParagraph"/>
      </w:pPr>
      <w:r>
        <w:t xml:space="preserve">Synthesis v3.1 is the current architecture of a twelve-framework, three-branch, six-path research programme anchored to CCDR v7.1. The architecture has been preserved since v1 but its internal hierarchy has changed substantially as four rounds of public-data testing have refined what each framework is empirically committed to. The central change in v3.1 is a formal re-hierarchisation: the twelve frameworks are now ranked by their proximity to observation, not by their logical priority. Algebraic routes to N (DA/O, HaPPY, AQN-as-sector-count) are formally demoted to consistency checks; N itself is promoted to an observable determined by direct-detection peak counting.</w:t>
      </w:r>
    </w:p>
    <w:p>
      <w:pPr>
        <w:pStyle w:val="BodyText"/>
      </w:pPr>
      <w:r>
        <w:t xml:space="preserve">The synthesis enters v3.1 with: one robust confirmation (local a₀ → Milgrom), one suggestive positive (P30 density-κ correlation on Euclid Q1), one suggestive high-redshift trend (a₀ → cH₀ at z &gt; 0), one moderate provisional ranking (N = 6 preferred by the Ω_DM/Ω_B check), several retractions (P3 single-catalogue discovery, P7-extended multi-harmonic w(z), single-peak w(z) survivor), and several untestable-with-current-data predictions (P8-series PTA signatures, P9b/d/e/f CERN Run 3, P10 cascade peak counting). The architecture remains stable; no layer has been falsified.</w:t>
      </w:r>
    </w:p>
    <w:bookmarkEnd w:id="20"/>
    <w:bookmarkStart w:id="21" w:name="Xc8e3c6a353e5372d7e6052ff38b1c6b700fa70f"/>
    <w:p>
      <w:pPr>
        <w:pStyle w:val="Heading1"/>
      </w:pPr>
      <w:r>
        <w:t xml:space="preserve">1. The Twelve Primary Frameworks, Ranked by Proximity to Observation</w:t>
      </w:r>
    </w:p>
    <w:p>
      <w:pPr>
        <w:pStyle w:val="FirstParagraph"/>
      </w:pPr>
      <w:r>
        <w:t xml:space="preserve">The v1 ordering was historical-chronological. The v3.1 ordering is by</w:t>
      </w:r>
      <w:r>
        <w:t xml:space="preserve"> </w:t>
      </w:r>
      <w:r>
        <w:rPr>
          <w:iCs/>
          <w:i/>
        </w:rPr>
        <w:t xml:space="preserve">decisiveness of empirical anchoring</w:t>
      </w:r>
      <w:r>
        <w:t xml:space="preserve">. Frameworks that directly connect to an empirical test move up; frameworks that provide structural machinery move down.</w:t>
      </w:r>
    </w:p>
    <w:p>
      <w:pPr>
        <w:pStyle w:val="BodyText"/>
      </w:pPr>
      <w:r>
        <w:rPr>
          <w:bCs/>
          <w:b/>
        </w:rPr>
        <w:t xml:space="preserve">Tier 1 — Observationally anchored.</w:t>
      </w:r>
    </w:p>
    <w:p>
      <w:pPr>
        <w:pStyle w:val="BodyText"/>
      </w:pPr>
      <w:r>
        <w:rPr>
          <w:iCs/>
          <w:i/>
        </w:rPr>
        <w:t xml:space="preserve">1.1 CCDR (2026).</w:t>
      </w:r>
      <w:r>
        <w:t xml:space="preserve"> </w:t>
      </w:r>
      <w:r>
        <w:t xml:space="preserve">The unifying principle χ → 1 triggers dimensional reduction. Anchored by the local a₀ → Milgrom confirmation and the suggestive Euclid Q1 κ signal. CCDR v7.1 is the current form.</w:t>
      </w:r>
    </w:p>
    <w:p>
      <w:pPr>
        <w:pStyle w:val="BodyText"/>
      </w:pPr>
      <w:r>
        <w:rPr>
          <w:iCs/>
          <w:i/>
        </w:rPr>
        <w:t xml:space="preserve">1.2 RVM — Shapiro &amp; Solà (2002).</w:t>
      </w:r>
      <w:r>
        <w:t xml:space="preserve"> </w:t>
      </w:r>
      <w:r>
        <w:t xml:space="preserve">ρ_vac(H) = C₀ + ν m² H² / M²_pl. Anchored by the joint Planck + Pantheon+ + DESI DR2 ν fit, with the caveat that the signal is low-z SN-driven and possibly systematic. Carries ν in the range 10⁻³ ≤ ν ≤ 10⁻² until DESI DR3 reports.</w:t>
      </w:r>
    </w:p>
    <w:p>
      <w:pPr>
        <w:pStyle w:val="BodyText"/>
      </w:pPr>
      <w:r>
        <w:rPr>
          <w:iCs/>
          <w:i/>
        </w:rPr>
        <w:t xml:space="preserve">1.3 AS — Weinberg (1979), Reuter (1998).</w:t>
      </w:r>
      <w:r>
        <w:t xml:space="preserve"> </w:t>
      </w:r>
      <w:r>
        <w:t xml:space="preserve">Asymptotic safety; the UV fixed point G* anchors the RG flow of Newton’s constant. Anchored indirectly via the running-vacuum coefficient’s connection to the one-loop matter-field RG.</w:t>
      </w:r>
    </w:p>
    <w:p>
      <w:pPr>
        <w:pStyle w:val="BodyText"/>
      </w:pPr>
      <w:r>
        <w:rPr>
          <w:bCs/>
          <w:b/>
        </w:rPr>
        <w:t xml:space="preserve">Tier 2 — Structurally committed, empirical test pending.</w:t>
      </w:r>
    </w:p>
    <w:p>
      <w:pPr>
        <w:pStyle w:val="BodyText"/>
      </w:pPr>
      <w:r>
        <w:rPr>
          <w:iCs/>
          <w:i/>
        </w:rPr>
        <w:t xml:space="preserve">1.4 CDT — Ambjørn, Jurkiewicz, Loll (2004).</w:t>
      </w:r>
      <w:r>
        <w:t xml:space="preserve"> </w:t>
      </w:r>
      <w:r>
        <w:t xml:space="preserve">The simplicial path integral; provides the microscopic simplicial geometry on which all other frameworks are built. The A → C phase transition corresponds to the Big Bang cascade’s first completion. Mixed-dimensionality CDT simulations (needed to accommodate v7’s asynchronous cascade) remain a computational project.</w:t>
      </w:r>
    </w:p>
    <w:p>
      <w:pPr>
        <w:pStyle w:val="BodyText"/>
      </w:pPr>
      <w:r>
        <w:rPr>
          <w:iCs/>
          <w:i/>
        </w:rPr>
        <w:t xml:space="preserve">1.5 TN — Ryu &amp; Takayanagi (2006), Hayden et al. (2016).</w:t>
      </w:r>
      <w:r>
        <w:t xml:space="preserve"> </w:t>
      </w:r>
      <w:r>
        <w:t xml:space="preserve">Tensor-network implementation of holographic area laws; provides the error-correcting code structure of the cascade’s low-dimensional boundary encoding. Restricted in v3.1 to the final k = 4 stage; earlier stages’ TN structure is a research problem.</w:t>
      </w:r>
    </w:p>
    <w:p>
      <w:pPr>
        <w:pStyle w:val="BodyText"/>
      </w:pPr>
      <w:r>
        <w:rPr>
          <w:iCs/>
          <w:i/>
        </w:rPr>
        <w:t xml:space="preserve">1.6 GFT + EPRL — Oriti (2007), EPRL (2008).</w:t>
      </w:r>
      <w:r>
        <w:t xml:space="preserve"> </w:t>
      </w:r>
      <w:r>
        <w:t xml:space="preserve">Group field theory condensate as the continuum limit of CDT; EPRL amplitude with the Barbero–Immirzi parameter γ. Required for the cascade-stage flow of GFT couplings.</w:t>
      </w:r>
    </w:p>
    <w:p>
      <w:pPr>
        <w:pStyle w:val="BodyText"/>
      </w:pPr>
      <w:r>
        <w:rPr>
          <w:iCs/>
          <w:i/>
        </w:rPr>
        <w:t xml:space="preserve">1.7 TGFT-RG — Ben Geloun &amp; Rivasseau (2012), Carrozza (2014).</w:t>
      </w:r>
      <w:r>
        <w:t xml:space="preserve"> </w:t>
      </w:r>
      <w:r>
        <w:t xml:space="preserve">Wilsonian RG for tensorial group field theory. Unblocked now that ν is empirically bounded; provides the machinery for the stage-by-stage cascade flow (Resolution Path 6).</w:t>
      </w:r>
    </w:p>
    <w:p>
      <w:pPr>
        <w:pStyle w:val="BodyText"/>
      </w:pPr>
      <w:r>
        <w:rPr>
          <w:iCs/>
          <w:i/>
        </w:rPr>
        <w:t xml:space="preserve">1.8 SSM — Connes (1996), Chamseddine &amp; Connes (2007).</w:t>
      </w:r>
      <w:r>
        <w:t xml:space="preserve"> </w:t>
      </w:r>
      <w:r>
        <w:t xml:space="preserve">Spectral standard model; the SM Lagrangian from the spectral action on a noncommutative geometry. In v3.1, carries the structural commitment to sector-dependent crystallisation scales for the Koide ratios (§6.3 of CCDR v7.1).</w:t>
      </w:r>
    </w:p>
    <w:p>
      <w:pPr>
        <w:pStyle w:val="BodyText"/>
      </w:pPr>
      <w:r>
        <w:rPr>
          <w:bCs/>
          <w:b/>
        </w:rPr>
        <w:t xml:space="preserve">Tier 3 — Algebraic / structural, consistency checks.</w:t>
      </w:r>
    </w:p>
    <w:p>
      <w:pPr>
        <w:pStyle w:val="BodyText"/>
      </w:pPr>
      <w:r>
        <w:rPr>
          <w:iCs/>
          <w:i/>
        </w:rPr>
        <w:t xml:space="preserve">1.9 AQN — Zhitnitsky (2003).</w:t>
      </w:r>
      <w:r>
        <w:t xml:space="preserve"> </w:t>
      </w:r>
      <w:r>
        <w:t xml:space="preserve">Axion quark nuggets as crystal defects. Contributes to the lightest cascade residue Ω_4; does not count dark sectors in v3.1 (demoted from v1).</w:t>
      </w:r>
    </w:p>
    <w:p>
      <w:pPr>
        <w:pStyle w:val="BodyText"/>
      </w:pPr>
      <w:r>
        <w:rPr>
          <w:iCs/>
          <w:i/>
        </w:rPr>
        <w:t xml:space="preserve">1.10 DA/O — Furey (2012/2018), Baez (2001).</w:t>
      </w:r>
      <w:r>
        <w:t xml:space="preserve"> </w:t>
      </w:r>
      <w:r>
        <w:t xml:space="preserve">C ⊗ H ⊗ O → SU(3) × SU(2) × U(1). Provides the upper bound N ≤ 11 on the number of reducible compact dimensions. Consistency check on the gauge group at the final stage; no longer used to fix N.</w:t>
      </w:r>
    </w:p>
    <w:p>
      <w:pPr>
        <w:pStyle w:val="BodyText"/>
      </w:pPr>
      <w:r>
        <w:rPr>
          <w:iCs/>
          <w:i/>
        </w:rPr>
        <w:t xml:space="preserve">1.11 HaPPY — Pastawski et al. (2015).</w:t>
      </w:r>
      <w:r>
        <w:t xml:space="preserve"> </w:t>
      </w:r>
      <w:r>
        <w:t xml:space="preserve">Holographic quantum error-correcting code. Provides the error-correcting structure of the k = 4 stage boundary encoding. Restricted to the final stage; the v1</w:t>
      </w:r>
      <w:r>
        <w:t xml:space="preserve"> </w:t>
      </w:r>
      <w:r>
        <w:t xml:space="preserve">“</w:t>
      </w:r>
      <w:r>
        <w:t xml:space="preserve">N = 6 from HaPPY code dimension</w:t>
      </w:r>
      <w:r>
        <w:t xml:space="preserve">”</w:t>
      </w:r>
      <w:r>
        <w:t xml:space="preserve"> </w:t>
      </w:r>
      <w:r>
        <w:t xml:space="preserve">calibration is removed.</w:t>
      </w:r>
    </w:p>
    <w:p>
      <w:pPr>
        <w:pStyle w:val="BodyText"/>
      </w:pPr>
      <w:r>
        <w:rPr>
          <w:iCs/>
          <w:i/>
        </w:rPr>
        <w:t xml:space="preserve">1.12 LGT — Wilson (1974).</w:t>
      </w:r>
      <w:r>
        <w:t xml:space="preserve"> </w:t>
      </w:r>
      <w:r>
        <w:t xml:space="preserve">Lattice gauge theory as the computational engine for Monte Carlo evaluation of the CDT path integral, the SSM spectral action, the GFT condensate, and the fermion propagator. Structurally indispensable; empirically invisible in its own right.</w:t>
      </w:r>
    </w:p>
    <w:bookmarkEnd w:id="21"/>
    <w:bookmarkStart w:id="22" w:name="the-three-alternative-branches"/>
    <w:p>
      <w:pPr>
        <w:pStyle w:val="Heading1"/>
      </w:pPr>
      <w:r>
        <w:t xml:space="preserve">2. The Three Alternative Branches</w:t>
      </w:r>
    </w:p>
    <w:p>
      <w:pPr>
        <w:pStyle w:val="FirstParagraph"/>
      </w:pPr>
      <w:r>
        <w:t xml:space="preserve">Branch architecture is unchanged since v1. Each branch is a fallback that can replace the primary chain’s corresponding component if that component fails.</w:t>
      </w:r>
    </w:p>
    <w:p>
      <w:pPr>
        <w:pStyle w:val="BodyText"/>
      </w:pPr>
      <w:r>
        <w:rPr>
          <w:bCs/>
          <w:b/>
        </w:rPr>
        <w:t xml:space="preserve">2.1 CST (Causal Set Theory) ↔ CDT — Bombelli, Lee, Meyer &amp; Sorkin (1987).</w:t>
      </w:r>
      <w:r>
        <w:t xml:space="preserve"> </w:t>
      </w:r>
      <w:r>
        <w:t xml:space="preserve">Spacetime as a locally finite partially ordered set. Natural fit for v7.1’s locally triggered reductions, because causal sets accommodate locally varying dimensionality through poset density variation. Swap when CDT’s continuum limit fails or when mixed-dimensionality simulations prove computationally intractable.</w:t>
      </w:r>
    </w:p>
    <w:p>
      <w:pPr>
        <w:pStyle w:val="BodyText"/>
      </w:pPr>
      <w:r>
        <w:rPr>
          <w:bCs/>
          <w:b/>
        </w:rPr>
        <w:t xml:space="preserve">2.2 EG (Entropic Gravity) ↔ CDT + TN — Jacobson (1995), Verlinde (2011/2017).</w:t>
      </w:r>
      <w:r>
        <w:t xml:space="preserve"> </w:t>
      </w:r>
      <w:r>
        <w:t xml:space="preserve">Einstein equations from δQ = T dS on horizons; MOND from de Sitter entanglement entropy. The local a₀ → Milgrom confirmation in SPARC and the high-z a₀ → cH₀ suggestive trend both anchor in EG territory as well as in CCDR. If the cascade picture is rejected, EG remains a viable fallback that still predicts the Milgrom scale.</w:t>
      </w:r>
    </w:p>
    <w:p>
      <w:pPr>
        <w:pStyle w:val="BodyText"/>
      </w:pPr>
      <w:r>
        <w:rPr>
          <w:bCs/>
          <w:b/>
        </w:rPr>
        <w:t xml:space="preserve">2.3 CFS (Causal Fermion Systems) ↔ CDT — Finster (2006).</w:t>
      </w:r>
      <w:r>
        <w:t xml:space="preserve"> </w:t>
      </w:r>
      <w:r>
        <w:t xml:space="preserve">Spacetime from an operator measure in Hilbert space; Einstein + Dirac from a single variational principle. Most flexible branch for v7.1’s local/asynchronous reductions.</w:t>
      </w:r>
    </w:p>
    <w:bookmarkEnd w:id="22"/>
    <w:bookmarkStart w:id="23" w:name="the-six-resolution-paths"/>
    <w:p>
      <w:pPr>
        <w:pStyle w:val="Heading1"/>
      </w:pPr>
      <w:r>
        <w:t xml:space="preserve">3. The Six Resolution Paths</w:t>
      </w:r>
    </w:p>
    <w:p>
      <w:pPr>
        <w:pStyle w:val="FirstParagraph"/>
      </w:pPr>
      <w:r>
        <w:t xml:space="preserve">The six resolution paths close remaining gaps in the primary chain. All are</w:t>
      </w:r>
      <w:r>
        <w:t xml:space="preserve"> </w:t>
      </w:r>
      <w:r>
        <w:rPr>
          <w:iCs/>
          <w:i/>
        </w:rPr>
        <w:t xml:space="preserve">unchanged in structure</w:t>
      </w:r>
      <w:r>
        <w:t xml:space="preserve"> </w:t>
      </w:r>
      <w:r>
        <w:t xml:space="preserve">from v2.3. The ν audit (previously the blocker for Paths 1 and 6) is now closed; both paths are unblocked. Their urgency is moderated by the recognition that the empirical ν may be a Pantheon+ systematic.</w:t>
      </w:r>
    </w:p>
    <w:p>
      <w:pPr>
        <w:pStyle w:val="BodyText"/>
      </w:pPr>
      <w:r>
        <w:rPr>
          <w:bCs/>
          <w:b/>
        </w:rPr>
        <w:t xml:space="preserve">3.1 Path 1 — Swampland distance conjecture → cascade timing.</w:t>
      </w:r>
      <w:r>
        <w:t xml:space="preserve"> </w:t>
      </w:r>
      <w:r>
        <w:t xml:space="preserve">Constrains the cascade timing function f(t) that maps RVM cooling to compactification radii. Unblocked; not yet executed. Timeline 1–2 years if prioritised.</w:t>
      </w:r>
    </w:p>
    <w:p>
      <w:pPr>
        <w:pStyle w:val="BodyText"/>
      </w:pPr>
      <w:r>
        <w:rPr>
          <w:bCs/>
          <w:b/>
        </w:rPr>
        <w:t xml:space="preserve">3.2 Path 2 — Discrete flavour symmetries as C_6v subgroups → neutrino hierarchy.</w:t>
      </w:r>
      <w:r>
        <w:t xml:space="preserve"> </w:t>
      </w:r>
      <w:r>
        <w:t xml:space="preserve">In v7.1 retains its v2 status: requires the SSM see-saw sector to be constructed on a CDT C-phase with hexagonal Brillouin zone. Timeline 2–5 years.</w:t>
      </w:r>
    </w:p>
    <w:p>
      <w:pPr>
        <w:pStyle w:val="BodyText"/>
      </w:pPr>
      <w:r>
        <w:rPr>
          <w:bCs/>
          <w:b/>
        </w:rPr>
        <w:t xml:space="preserve">3.3 Path 3 — CST Sorkin counting + Hartle–Hawking on CDT → C₀ from first principles.</w:t>
      </w:r>
      <w:r>
        <w:t xml:space="preserve"> </w:t>
      </w:r>
      <w:r>
        <w:t xml:space="preserve">In v7.1, C₀ is the zero-point energy of the</w:t>
      </w:r>
      <w:r>
        <w:t xml:space="preserve"> </w:t>
      </w:r>
      <w:r>
        <w:rPr>
          <w:iCs/>
          <w:i/>
        </w:rPr>
        <w:t xml:space="preserve">final-stage</w:t>
      </w:r>
      <w:r>
        <w:t xml:space="preserve"> </w:t>
      </w:r>
      <w:r>
        <w:t xml:space="preserve">de Sitter attractor; earlier stages’ zero-point energies are absorbed into the cascade history. Timeline 3–5 years.</w:t>
      </w:r>
    </w:p>
    <w:p>
      <w:pPr>
        <w:pStyle w:val="BodyText"/>
      </w:pPr>
      <w:r>
        <w:rPr>
          <w:bCs/>
          <w:b/>
        </w:rPr>
        <w:t xml:space="preserve">3.4 Path 4 — Algebraic renormalisation with overlap Dirac on CDT → strong CP.</w:t>
      </w:r>
      <w:r>
        <w:t xml:space="preserve"> </w:t>
      </w:r>
      <w:r>
        <w:t xml:space="preserve">Unchanged. Timeline 3–7 years.</w:t>
      </w:r>
    </w:p>
    <w:p>
      <w:pPr>
        <w:pStyle w:val="BodyText"/>
      </w:pPr>
      <w:r>
        <w:rPr>
          <w:bCs/>
          <w:b/>
        </w:rPr>
        <w:t xml:space="preserve">3.5 Path 5 — Diósi–Penrose gravitational collapse → quantum measurement.</w:t>
      </w:r>
      <w:r>
        <w:t xml:space="preserve"> </w:t>
      </w:r>
      <w:r>
        <w:t xml:space="preserve">Unchanged; testable at current mass scales, experimental verification timeline 5–10 years.</w:t>
      </w:r>
    </w:p>
    <w:p>
      <w:pPr>
        <w:pStyle w:val="BodyText"/>
      </w:pPr>
      <w:r>
        <w:rPr>
          <w:bCs/>
          <w:b/>
        </w:rPr>
        <w:t xml:space="preserve">3.6 Path 6 — Bahr–Steinhaus spin-foam RG → TGFT-RG for EPRL.</w:t>
      </w:r>
      <w:r>
        <w:t xml:space="preserve"> </w:t>
      </w:r>
      <w:r>
        <w:t xml:space="preserve">Unblocked. v2.2/v3 already noted urgency-reduced status given the probable-systematic nature of the ν signal; v3.1 carries this forward.</w:t>
      </w:r>
    </w:p>
    <w:bookmarkEnd w:id="23"/>
    <w:bookmarkStart w:id="24" w:name="layered-falsifiability"/>
    <w:p>
      <w:pPr>
        <w:pStyle w:val="Heading1"/>
      </w:pPr>
      <w:r>
        <w:t xml:space="preserve">4. Layered Falsifiability</w:t>
      </w:r>
    </w:p>
    <w:p>
      <w:pPr>
        <w:pStyle w:val="FirstParagraph"/>
      </w:pPr>
      <w:r>
        <w:t xml:space="preserve">The five-layer hierarchy is preserved. v3.1 updates the empirical status line of each layer.</w:t>
      </w:r>
    </w:p>
    <w:p>
      <w:pPr>
        <w:pStyle w:val="BodyText"/>
      </w:pPr>
      <w:r>
        <w:rPr>
          <w:bCs/>
          <w:b/>
        </w:rPr>
        <w:t xml:space="preserve">Layer 0 — CDT + cascade core.</w:t>
      </w:r>
      <w:r>
        <w:t xml:space="preserve"> </w:t>
      </w:r>
      <w:r>
        <w:t xml:space="preserve">Untested. No direct-detection dataset in the predicted 0.5–3 TeV second-peak window (round-4 readiness audit: 82 resources, 126 tables, zero in window). Exit to CST or CFS if CDT fails.</w:t>
      </w:r>
    </w:p>
    <w:p>
      <w:pPr>
        <w:pStyle w:val="BodyText"/>
      </w:pPr>
      <w:r>
        <w:rPr>
          <w:bCs/>
          <w:b/>
        </w:rPr>
        <w:t xml:space="preserve">Layer 1 — GFT + TGFT-RG.</w:t>
      </w:r>
      <w:r>
        <w:t xml:space="preserve"> </w:t>
      </w:r>
      <w:r>
        <w:t xml:space="preserve">ν audit closed at 10⁻³–10⁻², central value likely a low-z Pantheon+ systematic. No layer-1 exit triggered. Stage-by-stage Bahr–Steinhaus implementation is unblocked and deferred, awaiting DESI DR3.</w:t>
      </w:r>
    </w:p>
    <w:p>
      <w:pPr>
        <w:pStyle w:val="BodyText"/>
      </w:pPr>
      <w:r>
        <w:rPr>
          <w:bCs/>
          <w:b/>
        </w:rPr>
        <w:t xml:space="preserve">Layer 2 — TN + HaPPY.</w:t>
      </w:r>
      <w:r>
        <w:t xml:space="preserve"> </w:t>
      </w:r>
      <w:r>
        <w:t xml:space="preserve">Untested. Layer-2 exit to EG if the final-stage holographic structure fails, but no exit triggered.</w:t>
      </w:r>
    </w:p>
    <w:p>
      <w:pPr>
        <w:pStyle w:val="BodyText"/>
      </w:pPr>
      <w:r>
        <w:rPr>
          <w:bCs/>
          <w:b/>
        </w:rPr>
        <w:t xml:space="preserve">Layer 3 — SSM + AS + DA/O.</w:t>
      </w:r>
      <w:r>
        <w:t xml:space="preserve"> </w:t>
      </w:r>
      <w:r>
        <w:t xml:space="preserve">Consistent with all data. SSM’s new structural commitment (sector-dependent crystallisation scales for Koide ratios) awaits first-principles derivation. DA/O provides N ≤ 11 as upper bound; AQN contributes to Ω_4. No layer-3 exit.</w:t>
      </w:r>
    </w:p>
    <w:p>
      <w:pPr>
        <w:pStyle w:val="BodyText"/>
      </w:pPr>
      <w:r>
        <w:rPr>
          <w:bCs/>
          <w:b/>
        </w:rPr>
        <w:t xml:space="preserve">Layer 4 — RVM + CCDR.</w:t>
      </w:r>
      <w:r>
        <w:t xml:space="preserve"> </w:t>
      </w:r>
      <w:r>
        <w:t xml:space="preserve">Partially confirmed: a₀ → Milgrom (local, robust); density-κ correlation (Euclid Q1, suggestive, pending replication); high-z a₀ → cH₀ (small-sample, suggestive). Several v5-inherited predictions retracted or hedged (P3 Tempel-only, P7-ext multi-harmonic w(z), P9a 1–2 GeV, P9c QGP dip-peak). Layer-4 exit not triggered.</w:t>
      </w:r>
    </w:p>
    <w:p>
      <w:pPr>
        <w:pStyle w:val="BodyText"/>
      </w:pPr>
      <w:r>
        <w:rPr>
          <w:bCs/>
          <w:b/>
        </w:rPr>
        <w:t xml:space="preserve">Layer 5 — Baryogenesis.</w:t>
      </w:r>
      <w:r>
        <w:t xml:space="preserve"> </w:t>
      </w:r>
      <w:r>
        <w:t xml:space="preserve">η ~ ν × δ_CP × f_geo ~ 10⁻¹⁰. Ballpark consistent; no precision test yet.</w:t>
      </w:r>
    </w:p>
    <w:p>
      <w:pPr>
        <w:pStyle w:val="BodyText"/>
      </w:pPr>
      <w:r>
        <w:rPr>
          <w:bCs/>
          <w:b/>
        </w:rPr>
        <w:t xml:space="preserve">No layer is currently falsified.</w:t>
      </w:r>
      <w:r>
        <w:t xml:space="preserve"> </w:t>
      </w:r>
      <w:r>
        <w:t xml:space="preserve">The cascade hard core remains the diagnostic test; its result will settle Layers 0, 1, 4 simultaneously.</w:t>
      </w:r>
    </w:p>
    <w:bookmarkEnd w:id="24"/>
    <w:bookmarkStart w:id="25" w:name="the-observable-first-reclassification"/>
    <w:p>
      <w:pPr>
        <w:pStyle w:val="Heading1"/>
      </w:pPr>
      <w:r>
        <w:t xml:space="preserve">5. The Observable-First Reclassification</w:t>
      </w:r>
    </w:p>
    <w:p>
      <w:pPr>
        <w:pStyle w:val="FirstParagraph"/>
      </w:pPr>
      <w:r>
        <w:t xml:space="preserve">The most significant architectural change in v3.1 concerns N. In v1, the synthesis claimed three independent algebraic routes converged on N = 6. v2 demoted the AQN convention that gave 6. v3 admitted that the</w:t>
      </w:r>
      <w:r>
        <w:t xml:space="preserve"> </w:t>
      </w:r>
      <w:r>
        <w:t xml:space="preserve">“</w:t>
      </w:r>
      <w:r>
        <w:t xml:space="preserve">three routes give 6</w:t>
      </w:r>
      <w:r>
        <w:t xml:space="preserve">”</w:t>
      </w:r>
      <w:r>
        <w:t xml:space="preserve"> </w:t>
      </w:r>
      <w:r>
        <w:t xml:space="preserve">was a coincidence among constructions tuned to match. v3.1 completes the transition:</w:t>
      </w:r>
    </w:p>
    <w:p>
      <w:pPr>
        <w:pStyle w:val="BodyText"/>
      </w:pPr>
      <w:r>
        <w:rPr>
          <w:bCs/>
          <w:b/>
        </w:rPr>
        <w:t xml:space="preserve">N is an observable, determined by peak counting in direct detection.</w:t>
      </w:r>
      <w:r>
        <w:t xml:space="preserve"> </w:t>
      </w:r>
      <w:r>
        <w:t xml:space="preserve">Algebraic constructions that point at specific N values (DA/O upper bound, HaPPY code, one-observable Ω fit) are consistency checks. They are reported and tracked. They are not used to fix N ahead of the decisive experiment.</w:t>
      </w:r>
    </w:p>
    <w:p>
      <w:pPr>
        <w:pStyle w:val="BodyText"/>
      </w:pPr>
      <w:r>
        <w:t xml:space="preserve">The framework commits to accepting the direct-detection answer whatever it turns out to be. The algebraic routes provide a</w:t>
      </w:r>
      <w:r>
        <w:t xml:space="preserve"> </w:t>
      </w:r>
      <w:r>
        <w:rPr>
          <w:iCs/>
          <w:i/>
        </w:rPr>
        <w:t xml:space="preserve">prior</w:t>
      </w:r>
      <w:r>
        <w:t xml:space="preserve"> </w:t>
      </w:r>
      <w:r>
        <w:t xml:space="preserve">of N = 6, informative but not binding. If the peak count returns a different value, the algebraic routes are wrong, not the detection.</w:t>
      </w:r>
    </w:p>
    <w:p>
      <w:pPr>
        <w:pStyle w:val="BodyText"/>
      </w:pPr>
      <w:r>
        <w:t xml:space="preserve">This is an epistemic commitment, not a mathematical one. The framework is organised around observations.</w:t>
      </w:r>
    </w:p>
    <w:bookmarkEnd w:id="25"/>
    <w:bookmarkStart w:id="26" w:name="X22878b9da6df55a182409cea4901b8a59cbe9f2"/>
    <w:p>
      <w:pPr>
        <w:pStyle w:val="Heading1"/>
      </w:pPr>
      <w:r>
        <w:t xml:space="preserve">6. Round-4 Results and Their Synthesis-Level Consequences</w:t>
      </w:r>
    </w:p>
    <w:p>
      <w:pPr>
        <w:pStyle w:val="FirstParagraph"/>
      </w:pPr>
      <w:r>
        <w:t xml:space="preserve">Round 4 (six-test Euclid Q1 battery) delivered one suggestive positive (Test 1 on P30), one consistent-but-not-confirming (Test 2 on P3), one suggestive trend (Test 5 on high-z a₀), and three null-or-weak (Test 3 on P29, Test 4 on P31, Test 6 on P9b/d/e/f).</w:t>
      </w:r>
    </w:p>
    <w:p>
      <w:pPr>
        <w:pStyle w:val="BodyText"/>
      </w:pPr>
      <w:r>
        <w:rPr>
          <w:bCs/>
          <w:b/>
        </w:rPr>
        <w:t xml:space="preserve">The synthesis-level takeaway:</w:t>
      </w:r>
      <w:r>
        <w:t xml:space="preserve"> </w:t>
      </w:r>
      <w:r>
        <w:t xml:space="preserve">Layer 4 (RVM + CCDR) is the only layer with active empirical signals. Every signal so far is consistent with the framework’s predictions in</w:t>
      </w:r>
      <w:r>
        <w:t xml:space="preserve"> </w:t>
      </w:r>
      <w:r>
        <w:rPr>
          <w:iCs/>
          <w:i/>
        </w:rPr>
        <w:t xml:space="preserve">direction</w:t>
      </w:r>
      <w:r>
        <w:t xml:space="preserve">, and either at or below the lower end of the theoretical amplitude range (consistent with ν ≈ 10⁻³). This is the opposite of the pattern one would expect from noise or a selection effect.</w:t>
      </w:r>
    </w:p>
    <w:p>
      <w:pPr>
        <w:pStyle w:val="BodyText"/>
      </w:pPr>
      <w:r>
        <w:t xml:space="preserve">The caveat: independent replication has not yet been achieved for the P30 signal, and the high-z a₀ trend comes from a six-point sample. Neither is yet a discovery. Both are priority targets for round 5.</w:t>
      </w:r>
    </w:p>
    <w:bookmarkEnd w:id="26"/>
    <w:bookmarkStart w:id="27" w:name="X5e9c6a372d08933f0d45f5660d5fe6f50c25969"/>
    <w:p>
      <w:pPr>
        <w:pStyle w:val="Heading1"/>
      </w:pPr>
      <w:r>
        <w:t xml:space="preserve">7. Priority Experimental Targets for Round 5</w:t>
      </w:r>
    </w:p>
    <w:p>
      <w:pPr>
        <w:pStyle w:val="FirstParagraph"/>
      </w:pPr>
      <w:r>
        <w:rPr>
          <w:bCs/>
          <w:b/>
        </w:rPr>
        <w:t xml:space="preserve">7.1</w:t>
      </w:r>
      <w:r>
        <w:t xml:space="preserve"> </w:t>
      </w:r>
      <w:r>
        <w:t xml:space="preserve">Independent replication of the Euclid Q1 density-κ correlation on a non-Euclid lensing catalogue (Planck PR4, ACT, or SPT-3G CMB lensing × DES or LSST galaxy density).</w:t>
      </w:r>
    </w:p>
    <w:p>
      <w:pPr>
        <w:pStyle w:val="BodyText"/>
      </w:pPr>
      <w:r>
        <w:rPr>
          <w:bCs/>
          <w:b/>
        </w:rPr>
        <w:t xml:space="preserve">7.2</w:t>
      </w:r>
      <w:r>
        <w:t xml:space="preserve"> </w:t>
      </w:r>
      <w:r>
        <w:t xml:space="preserve">A full foreground-systematics audit of the Test 1 κ signal: photo-z bias, magnification, selection effects, small-scale clustering contamination.</w:t>
      </w:r>
    </w:p>
    <w:p>
      <w:pPr>
        <w:pStyle w:val="BodyText"/>
      </w:pPr>
      <w:r>
        <w:rPr>
          <w:bCs/>
          <w:b/>
        </w:rPr>
        <w:t xml:space="preserve">7.3</w:t>
      </w:r>
      <w:r>
        <w:t xml:space="preserve"> </w:t>
      </w:r>
      <w:r>
        <w:t xml:space="preserve">Extension of the high-z a₀ test to a catalogue-scale sample (~100+ rotation curves at z &gt; 0.3). JWST high-z spectroscopic follow-up of TNG50 or IllustrisTNG galaxies would suffice.</w:t>
      </w:r>
    </w:p>
    <w:p>
      <w:pPr>
        <w:pStyle w:val="BodyText"/>
      </w:pPr>
      <w:r>
        <w:rPr>
          <w:bCs/>
          <w:b/>
        </w:rPr>
        <w:t xml:space="preserve">7.4</w:t>
      </w:r>
      <w:r>
        <w:t xml:space="preserve"> </w:t>
      </w:r>
      <w:r>
        <w:t xml:space="preserve">DESI DR3 ν re-derivation with the unified pipeline, targeting a clean decision between</w:t>
      </w:r>
      <w:r>
        <w:t xml:space="preserve"> </w:t>
      </w:r>
      <w:r>
        <w:t xml:space="preserve">“</w:t>
      </w:r>
      <w:r>
        <w:t xml:space="preserve">cosmological ν</w:t>
      </w:r>
      <w:r>
        <w:t xml:space="preserve">”</w:t>
      </w:r>
      <w:r>
        <w:t xml:space="preserve"> </w:t>
      </w:r>
      <w:r>
        <w:t xml:space="preserve">and</w:t>
      </w:r>
      <w:r>
        <w:t xml:space="preserve"> </w:t>
      </w:r>
      <w:r>
        <w:t xml:space="preserve">“</w:t>
      </w:r>
      <w:r>
        <w:t xml:space="preserve">Pantheon+ systematic</w:t>
      </w:r>
      <w:r>
        <w:t xml:space="preserve">”</w:t>
      </w:r>
      <w:r>
        <w:t xml:space="preserve">.</w:t>
      </w:r>
    </w:p>
    <w:p>
      <w:pPr>
        <w:pStyle w:val="BodyText"/>
      </w:pPr>
      <w:r>
        <w:rPr>
          <w:bCs/>
          <w:b/>
        </w:rPr>
        <w:t xml:space="preserve">7.5</w:t>
      </w:r>
      <w:r>
        <w:t xml:space="preserve"> </w:t>
      </w:r>
      <w:r>
        <w:t xml:space="preserve">Execution of the Bahr–Steinhaus spin-foam RG stage by stage (Resolution Path 6) as a purely theoretical calculation, with predictions parameterised by ν over the 10⁻³–10⁻² range.</w:t>
      </w:r>
    </w:p>
    <w:p>
      <w:pPr>
        <w:pStyle w:val="BodyText"/>
      </w:pPr>
      <w:r>
        <w:rPr>
          <w:bCs/>
          <w:b/>
        </w:rPr>
        <w:t xml:space="preserve">7.6</w:t>
      </w:r>
      <w:r>
        <w:t xml:space="preserve"> </w:t>
      </w:r>
      <w:r>
        <w:t xml:space="preserve">Deep HEPData / collaboration-level audit of direct-detection limits approaching the 0.5–3 TeV window, tracking when tonne-scale peak-resolution analyses may become available. The cascade hard core depends on this.</w:t>
      </w:r>
    </w:p>
    <w:p>
      <w:pPr>
        <w:pStyle w:val="BodyText"/>
      </w:pPr>
      <w:r>
        <w:t xml:space="preserve">The framework does not currently possess the sensitivity to fire the diagnostic test. It is instead accumulating peripheral signals, each of which is individually modest but jointly pattern-consistent with the cascade prediction. This is the expected empirical phase for a theory of this character and scope.</w:t>
      </w:r>
    </w:p>
    <w:bookmarkEnd w:id="27"/>
    <w:bookmarkStart w:id="28" w:name="conclusion"/>
    <w:p>
      <w:pPr>
        <w:pStyle w:val="Heading1"/>
      </w:pPr>
      <w:r>
        <w:t xml:space="preserve">8. Conclusion</w:t>
      </w:r>
    </w:p>
    <w:p>
      <w:pPr>
        <w:pStyle w:val="FirstParagraph"/>
      </w:pPr>
      <w:r>
        <w:t xml:space="preserve">Synthesis v3.1 is an architecturally preserved, observationally reoriented version of the v1 twelve-framework programme. After four rounds of public-data testing the honest scorecard is: one robust confirmation, three suggestive positives (one of them the strongest new signal of the campaign, another with a small sample), one provisional N-ranking, and several clean retractions or hedges. No layer is falsified. The cascade hard core is the diagnostic test that remains, and it awaits next-generation direct detection.</w:t>
      </w:r>
    </w:p>
    <w:p>
      <w:pPr>
        <w:pStyle w:val="BodyText"/>
      </w:pPr>
      <w:r>
        <w:t xml:space="preserve">The framework is committed to observation. Algebraic coincidences are reported and tracked. They do not fix N, ν, or any other parameter where data exist. Where data do not yet exist, parameters are carried as ranges, and the framework commits in advance to accept the empirical answer when it arrives.</w:t>
      </w:r>
    </w:p>
    <w:p>
      <w:pPr>
        <w:pStyle w:val="BodyText"/>
      </w:pPr>
      <w:r>
        <w:t xml:space="preserve">This is a research programme with a clear hard core, a transparent scorecard, and a commitment to falsifiability even at the cost of rhetorical strength. It is presented as such, not as a completed theory.</w:t>
      </w:r>
    </w:p>
    <w:bookmarkEnd w:id="28"/>
    <w:bookmarkStart w:id="29" w:name="references"/>
    <w:p>
      <w:pPr>
        <w:pStyle w:val="Heading1"/>
      </w:pPr>
      <w:r>
        <w:t xml:space="preserve">References</w:t>
      </w:r>
    </w:p>
    <w:p>
      <w:pPr>
        <w:pStyle w:val="FirstParagraph"/>
      </w:pPr>
      <w:r>
        <w:t xml:space="preserve">As in v2.3 / v3, plus the round-4 Euclid Q1 six-test battery.</w:t>
      </w:r>
    </w:p>
    <w:p>
      <w:r>
        <w:pict>
          <v:rect style="width:0;height:1.5pt" o:hralign="center" o:hrstd="t" o:hr="t"/>
        </w:pict>
      </w:r>
    </w:p>
    <w:p>
      <w:pPr>
        <w:pStyle w:val="FirstParagraph"/>
      </w:pPr>
      <w:r>
        <w:rPr>
          <w:iCs/>
          <w:i/>
        </w:rPr>
        <w:t xml:space="preserve">Manuscript prepared for double-blind peer review.</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Extended Crystallographic Synthesis (v3.1)</dc:title>
  <dc:creator>[Author names withheld]</dc:creator>
  <cp:keywords/>
  <dcterms:created xsi:type="dcterms:W3CDTF">2026-04-16T10:17:34Z</dcterms:created>
  <dcterms:modified xsi:type="dcterms:W3CDTF">2026-04-16T10:17:34Z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subtitle">
    <vt:lpwstr>Twelve Primary Frameworks, Three Alternative Branches, Six Resolution Paths — Aligned with CCDR v7.1 and the Observable-First Commitment</vt:lpwstr>
  </property>
</Properties>
</file>