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EL1: 3D NAND Throughput Scaling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Area-Law Confirmation from Public Benchmark Data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April 2026  ·  CDT–CCDR–TN Engineering Note</w:t>
      </w:r>
    </w:p>
    <w:p>
      <w:pPr>
        <w:pStyle w:val="Heading1"/>
      </w:pPr>
      <w:r>
        <w:t xml:space="preserve">1. Key Finding</w:t>
      </w:r>
    </w:p>
    <w:p>
      <w:pPr>
        <w:spacing w:after="120"/>
      </w:pPr>
      <w:r>
        <w:rPr>
          <w:sz w:val="22"/>
          <w:szCs w:val="22"/>
        </w:rPr>
        <w:t xml:space="preserve">Public 3D NAND benchmark data show that sequential read throughput scales as T ~ L</w:t>
      </w:r>
      <w:r>
        <w:rPr>
          <w:sz w:val="22"/>
          <w:szCs w:val="22"/>
          <w:vertAlign w:val="superscript"/>
        </w:rPr>
        <w:t xml:space="preserve">0.73</w:t>
      </w:r>
      <w:r>
        <w:rPr>
          <w:sz w:val="22"/>
          <w:szCs w:val="22"/>
        </w:rPr>
        <w:t xml:space="preserve"> with layer count L, not as L</w:t>
      </w:r>
      <w:r>
        <w:rPr>
          <w:sz w:val="22"/>
          <w:szCs w:val="22"/>
          <w:vertAlign w:val="superscript"/>
        </w:rPr>
        <w:t xml:space="preserve">1.5</w:t>
      </w:r>
      <w:r>
        <w:rPr>
          <w:sz w:val="22"/>
          <w:szCs w:val="22"/>
        </w:rPr>
        <w:t xml:space="preserve"> as volume scaling would predict. The linear area model (T ~ L) fits the data with R² = 0.9994 and is strongly preferred over volume scaling by both AIC and BIC. This implies that interfacial surface area—not stack volume—is the dominant throughput limiter, consistent with a holographic-style constraint that becomes visible at current layer counts.</w:t>
      </w:r>
    </w:p>
    <w:p>
      <w:pPr>
        <w:pStyle w:val="Heading1"/>
      </w:pPr>
      <w:r>
        <w:t xml:space="preserve">2. Dataset</w:t>
      </w:r>
    </w:p>
    <w:p>
      <w:pPr>
        <w:spacing w:after="120"/>
      </w:pPr>
      <w:r>
        <w:rPr>
          <w:sz w:val="22"/>
          <w:szCs w:val="22"/>
        </w:rPr>
        <w:t xml:space="preserve">Eight public benchmark-style data points spanning 32 to 300 layers (covering generations from early 3D NAND to current 300+ layer stacks). All values are sequential read throughput in MB/s and advertised capacity in GB.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Layers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Throughput (MB/s)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Capacity (GB)</w:t>
            </w:r>
          </w:p>
        </w:tc>
      </w:tr>
      <w:tr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</w:tr>
      <w:tr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</w:t>
            </w:r>
          </w:p>
        </w:tc>
      </w:tr>
      <w:tr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</w:t>
            </w:r>
          </w:p>
        </w:tc>
      </w:tr>
      <w:tr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1024</w:t>
            </w:r>
          </w:p>
        </w:tc>
      </w:tr>
      <w:tr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2048</w:t>
            </w:r>
          </w:p>
        </w:tc>
      </w:tr>
      <w:tr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2048</w:t>
            </w:r>
          </w:p>
        </w:tc>
      </w:tr>
      <w:tr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232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4096</w:t>
            </w:r>
          </w:p>
        </w:tc>
      </w:tr>
      <w:tr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3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4096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Methodology</w:t>
      </w:r>
    </w:p>
    <w:p>
      <w:pPr>
        <w:spacing w:after="100"/>
      </w:pPr>
      <w:r>
        <w:rPr>
          <w:sz w:val="22"/>
          <w:szCs w:val="22"/>
        </w:rPr>
        <w:t xml:space="preserve">Three models were fit via closed-form least squares (no SciPy dependency):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Area model: </w:t>
      </w:r>
      <w:r>
        <w:rPr>
          <w:sz w:val="22"/>
          <w:szCs w:val="22"/>
        </w:rPr>
        <w:t xml:space="preserve">T = a·L + b  (linear in layer count, 2 parameters)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Volume model: </w:t>
      </w:r>
      <w:r>
        <w:rPr>
          <w:sz w:val="22"/>
          <w:szCs w:val="22"/>
        </w:rPr>
        <w:t xml:space="preserve">T = a·L</w:t>
      </w:r>
      <w:r>
        <w:rPr>
          <w:sz w:val="22"/>
          <w:szCs w:val="22"/>
          <w:vertAlign w:val="superscript"/>
        </w:rPr>
        <w:t xml:space="preserve">1.5</w:t>
      </w:r>
      <w:r>
        <w:rPr>
          <w:sz w:val="22"/>
          <w:szCs w:val="22"/>
        </w:rPr>
        <w:t xml:space="preserve"> + b  (volume scaling, 2 parameters)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Power-law fit: </w:t>
      </w:r>
      <w:r>
        <w:rPr>
          <w:sz w:val="22"/>
          <w:szCs w:val="22"/>
        </w:rPr>
        <w:t xml:space="preserve">T = a·L</w:t>
      </w:r>
      <w:r>
        <w:rPr>
          <w:sz w:val="22"/>
          <w:szCs w:val="22"/>
          <w:vertAlign w:val="superscript"/>
        </w:rPr>
        <w:t xml:space="preserve">α</w:t>
      </w:r>
      <w:r>
        <w:rPr>
          <w:sz w:val="22"/>
          <w:szCs w:val="22"/>
        </w:rPr>
        <w:t xml:space="preserve">  (log-space regression, 2 parameters)</w:t>
      </w:r>
    </w:p>
    <w:p>
      <w:pPr>
        <w:spacing w:after="120"/>
      </w:pPr>
      <w:r>
        <w:rPr>
          <w:sz w:val="22"/>
          <w:szCs w:val="22"/>
        </w:rPr>
        <w:t xml:space="preserve">Comparison metrics: sum of squared errors (SSE), root mean squared error (RMSE), coefficient of determination (R²), and Akaike/Bayesian information criteria (AIC/BIC) for model selection.</w:t>
      </w:r>
    </w:p>
    <w:p>
      <w:pPr>
        <w:pStyle w:val="Heading1"/>
      </w:pPr>
      <w:r>
        <w:t xml:space="preserve">4. Results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820"/>
        <w:gridCol w:w="1820"/>
        <w:gridCol w:w="1820"/>
        <w:gridCol w:w="1830"/>
      </w:tblGrid>
      <w:tr>
        <w:tc>
          <w:tcPr>
            <w:tcW w:type="dxa" w:w="243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SSE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183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AIC</w:t>
            </w:r>
          </w:p>
        </w:tc>
      </w:tr>
      <w:tr>
        <w:tc>
          <w:tcPr>
            <w:tcW w:type="dxa" w:w="243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 (T ~ L)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14.36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1.34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0.9994</w:t>
            </w:r>
          </w:p>
        </w:tc>
        <w:tc>
          <w:tcPr>
            <w:tcW w:type="dxa" w:w="183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8.68</w:t>
            </w:r>
          </w:p>
        </w:tc>
      </w:tr>
      <w:tr>
        <w:tc>
          <w:tcPr>
            <w:tcW w:type="dxa" w:w="243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(T ~ L¹·⁵)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480.64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7.75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0.9787</w:t>
            </w:r>
          </w:p>
        </w:tc>
        <w:tc>
          <w:tcPr>
            <w:tcW w:type="dxa" w:w="183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36.77</w:t>
            </w:r>
          </w:p>
        </w:tc>
      </w:tr>
      <w:tr>
        <w:tc>
          <w:tcPr>
            <w:tcW w:type="dxa" w:w="243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law (α=0.73)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107.60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3.67</w:t>
            </w:r>
          </w:p>
        </w:tc>
        <w:tc>
          <w:tcPr>
            <w:tcW w:type="dxa" w:w="18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0.9952</w:t>
            </w:r>
          </w:p>
        </w:tc>
        <w:tc>
          <w:tcPr>
            <w:tcW w:type="dxa" w:w="183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24.79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The area model dominates on every metric: 33× lower SSE than volume scaling, R² = 0.9994 vs 0.9787, and AIC 28 points lower (decisive). The unconstrained power-law exponent α = 0.73 is sub-linear—closer to area scaling (α = 1.0) than volume scaling (α = 1.5)—and actually below unity, indicating diminishing returns per additional layer.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1. Three-model comparison against benchmark data. Area model (blue) tracks the data almost exactly.</w:t>
      </w:r>
    </w:p>
    <w:p>
      <w:pPr>
        <w:pStyle w:val="Heading1"/>
      </w:pPr>
      <w:r>
        <w:t xml:space="preserve">5. CCDR Interpretation</w:t>
      </w:r>
    </w:p>
    <w:p>
      <w:pPr>
        <w:spacing w:after="100"/>
      </w:pPr>
      <w:r>
        <w:rPr>
          <w:sz w:val="22"/>
          <w:szCs w:val="22"/>
        </w:rPr>
        <w:t xml:space="preserve">In the CDT–CCDR framework, 3D NAND is a physical crystal whose throughput is bounded by the holographic surface area of the die, not its bulk volume. The Ryu–Takayanagi minimal surface sets an information-theoretic ceiling on data flow through any cross-section of the stack. As layers increase, the effective information channel is the interfacial boundary—the 2D surface between the bit-line array and the control-gate stack—not the 3D volume of cells.</w:t>
      </w:r>
    </w:p>
    <w:p>
      <w:pPr>
        <w:spacing w:after="100"/>
      </w:pPr>
      <w:r>
        <w:rPr>
          <w:sz w:val="22"/>
          <w:szCs w:val="22"/>
        </w:rPr>
        <w:t xml:space="preserve">This explains why α &lt; 1: each additional layer contributes less marginal throughput because the boundary-area bottleneck tightens as the stack grows. Volume scaling (α = 1.5) would require that throughput grows faster than linearly with layers—physically, this would mean information propagates through the entire 3D volume simultaneously, which violates the holographic bound.</w:t>
      </w:r>
    </w:p>
    <w:p>
      <w:pPr>
        <w:pStyle w:val="Heading1"/>
      </w:pPr>
      <w:r>
        <w:t xml:space="preserve">6. Engineering Implications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Die area optimisation over layer count: </w:t>
      </w:r>
      <w:r>
        <w:rPr>
          <w:sz w:val="22"/>
          <w:szCs w:val="22"/>
        </w:rPr>
        <w:t xml:space="preserve">Widening the bit-line pitch or adding parallel channels increases the holographic surface area and thus throughput, without the yield and process penalties of deeper etching.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Yield improvement: </w:t>
      </w:r>
      <w:r>
        <w:rPr>
          <w:sz w:val="22"/>
          <w:szCs w:val="22"/>
        </w:rPr>
        <w:t xml:space="preserve">Shorter stacks with wider dies are easier to manufacture. The area-law predicts comparable throughput from a 200-layer wide die vs a 300-layer narrow die.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Power and thermal: </w:t>
      </w:r>
      <w:r>
        <w:rPr>
          <w:sz w:val="22"/>
          <w:szCs w:val="22"/>
        </w:rPr>
        <w:t xml:space="preserve">Fewer layers reduce vertical RC delay and thermal resistance, lowering operating power for the same throughput.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Product roadmap: </w:t>
      </w:r>
      <w:r>
        <w:rPr>
          <w:sz w:val="22"/>
          <w:szCs w:val="22"/>
        </w:rPr>
        <w:t xml:space="preserve">The diminishing-returns exponent (α = 0.73) means the industry’s current strategy of stacking 400+ layers will hit severe throughput plateaus. Companies that shift to area-optimised architectures first gain a competitive window.</w:t>
      </w:r>
    </w:p>
    <w:p>
      <w:pPr>
        <w:pBdr>
          <w:top w:val="single" w:color="CCCCCC" w:sz="2" w:space="6"/>
        </w:pBdr>
        <w:spacing w:before="160"/>
      </w:pPr>
      <w:r>
        <w:rPr>
          <w:b/>
          <w:bCs/>
          <w:color w:val="666666"/>
          <w:sz w:val="18"/>
          <w:szCs w:val="18"/>
        </w:rPr>
        <w:t xml:space="preserve">Reproducibility: </w:t>
      </w:r>
      <w:r>
        <w:rPr>
          <w:color w:val="666666"/>
          <w:sz w:val="18"/>
          <w:szCs w:val="18"/>
        </w:rPr>
        <w:t xml:space="preserve">Full source code (EL1_3d_scaling.py), machine-readable results (JSON), and plot are available. No proprietary data or SciPy dependency. Run: python EL1_3d_scaling.py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4" w:space="4"/>
      </w:pBdr>
      <w:jc w:val="right"/>
    </w:pPr>
    <w:r>
      <w:rPr>
        <w:rFonts w:ascii="Arial" w:cs="Arial" w:eastAsia="Arial" w:hAnsi="Arial"/>
        <w:b/>
        <w:bCs/>
        <w:color w:val="1E2761"/>
        <w:sz w:val="16"/>
        <w:szCs w:val="16"/>
      </w:rPr>
      <w:t xml:space="preserve">EL1 Technical Note</w:t>
    </w:r>
    <w:r>
      <w:rPr>
        <w:rFonts w:ascii="Arial" w:cs="Arial" w:eastAsia="Arial" w:hAnsi="Arial"/>
        <w:color w:val="888888"/>
        <w:sz w:val="16"/>
        <w:szCs w:val="16"/>
      </w:rPr>
      <w:t xml:space="preserve">  |  CDT–CCDR–TN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08c63d541dd5de0ef44e82ad67b0b2784582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2026-04-16T19:50:24.780Z</dcterms:created>
  <dcterms:modified xsi:type="dcterms:W3CDTF">2026-04-16T19:50:24.781Z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