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jc w:val="center"/>
      </w:pPr>
      <w:r>
        <w:rPr>
          <w:rFonts w:ascii="Cambria" w:cs="Cambria" w:eastAsia="Cambria" w:hAnsi="Cambria"/>
          <w:b/>
          <w:bCs/>
          <w:sz w:val="29"/>
          <w:szCs w:val="29"/>
        </w:rPr>
        <w:t xml:space="preserve">The Extended Crystallographic Synthesis</w:t>
      </w:r>
    </w:p>
    <w:p>
      <w:pPr>
        <w:spacing w:after="45"/>
        <w:jc w:val="center"/>
      </w:pPr>
      <w:r>
        <w:rPr>
          <w:rFonts w:ascii="Cambria" w:cs="Cambria" w:eastAsia="Cambria" w:hAnsi="Cambria"/>
          <w:b/>
          <w:bCs/>
          <w:sz w:val="29"/>
          <w:szCs w:val="29"/>
        </w:rPr>
        <w:t xml:space="preserve">with Tensorial GFT Renormalisation, Division Algebras,</w:t>
      </w:r>
    </w:p>
    <w:p>
      <w:pPr>
        <w:spacing w:after="45"/>
        <w:jc w:val="center"/>
      </w:pPr>
      <w:r>
        <w:rPr>
          <w:rFonts w:ascii="Cambria" w:cs="Cambria" w:eastAsia="Cambria" w:hAnsi="Cambria"/>
          <w:b/>
          <w:bCs/>
          <w:sz w:val="29"/>
          <w:szCs w:val="29"/>
        </w:rPr>
        <w:t xml:space="preserve">Three Alternative Branches, and Resolution Paths</w:t>
      </w:r>
    </w:p>
    <w:p>
      <w:pPr>
        <w:spacing w:after="25"/>
      </w:pPr>
    </w:p>
    <w:p>
      <w:pPr>
        <w:spacing w:after="45"/>
        <w:jc w:val="center"/>
      </w:pPr>
      <w:r>
        <w:rPr>
          <w:rFonts w:ascii="Cambria" w:cs="Cambria" w:eastAsia="Cambria" w:hAnsi="Cambria"/>
          <w:b/>
          <w:bCs/>
          <w:sz w:val="24"/>
          <w:szCs w:val="24"/>
        </w:rPr>
        <w:t xml:space="preserve">LGT–AS–SSM–RVM–AQN–CDT–TN–GFT/EPRL–TGFT-RG–DA/O–HaPPY–CCDR</w:t>
      </w:r>
    </w:p>
    <w:p>
      <w:pPr>
        <w:spacing w:after="45"/>
        <w:jc w:val="center"/>
      </w:pPr>
      <w:r>
        <w:rPr>
          <w:rFonts w:ascii="Cambria" w:cs="Cambria" w:eastAsia="Cambria" w:hAnsi="Cambria"/>
          <w:b/>
          <w:bCs/>
          <w:sz w:val="22"/>
          <w:szCs w:val="22"/>
        </w:rPr>
        <w:t xml:space="preserve">with CST ↔ CDT, EG ↔ CDT+TN, CFS ↔ CDT as Resilient Fallback Paths</w:t>
      </w:r>
    </w:p>
    <w:p>
      <w:pPr>
        <w:spacing w:after="45"/>
        <w:jc w:val="center"/>
      </w:pPr>
      <w:r>
        <w:rPr>
          <w:rFonts w:ascii="Cambria" w:cs="Cambria" w:eastAsia="Cambria" w:hAnsi="Cambria"/>
          <w:b/>
          <w:bCs/>
          <w:sz w:val="22"/>
          <w:szCs w:val="22"/>
        </w:rPr>
        <w:t xml:space="preserve">and Six Resolution Paths for Remaining Open Problems</w:t>
      </w:r>
    </w:p>
    <w:p>
      <w:pPr>
        <w:spacing w:after="25"/>
      </w:pPr>
    </w:p>
    <w:p>
      <w:pPr>
        <w:spacing w:after="45"/>
        <w:jc w:val="center"/>
      </w:pPr>
      <w:r>
        <w:rPr>
          <w:rFonts w:ascii="Cambria" w:cs="Cambria" w:eastAsia="Cambria" w:hAnsi="Cambria"/>
          <w:i/>
          <w:iCs/>
          <w:sz w:val="21"/>
          <w:szCs w:val="21"/>
        </w:rPr>
        <w:t xml:space="preserve">Wilson (1974) · Weinberg–Reuter (1979/98) · Bombelli–Sorkin (1987) · Jacobson–Verlinde (1995/2011)</w:t>
      </w:r>
    </w:p>
    <w:p>
      <w:pPr>
        <w:spacing w:after="45"/>
        <w:jc w:val="center"/>
      </w:pPr>
      <w:r>
        <w:rPr>
          <w:rFonts w:ascii="Cambria" w:cs="Cambria" w:eastAsia="Cambria" w:hAnsi="Cambria"/>
          <w:i/>
          <w:iCs/>
          <w:sz w:val="21"/>
          <w:szCs w:val="21"/>
        </w:rPr>
        <w:t xml:space="preserve">Connes–Chamseddine (1996/2007) · Shapiro–Solà (2002) · Zhitnitsky (2003) · Ambjørn et al. (2004)</w:t>
      </w:r>
    </w:p>
    <w:p>
      <w:pPr>
        <w:spacing w:after="45"/>
        <w:jc w:val="center"/>
      </w:pPr>
      <w:r>
        <w:rPr>
          <w:rFonts w:ascii="Cambria" w:cs="Cambria" w:eastAsia="Cambria" w:hAnsi="Cambria"/>
          <w:i/>
          <w:iCs/>
          <w:sz w:val="21"/>
          <w:szCs w:val="21"/>
        </w:rPr>
        <w:t xml:space="preserve">Finster (2006) · Ryu–Takayanagi (2006) · Oriti (2007) · EPRL (2008)</w:t>
      </w:r>
    </w:p>
    <w:p>
      <w:pPr>
        <w:spacing w:after="45"/>
        <w:jc w:val="center"/>
      </w:pPr>
      <w:r>
        <w:rPr>
          <w:rFonts w:ascii="Cambria" w:cs="Cambria" w:eastAsia="Cambria" w:hAnsi="Cambria"/>
          <w:i/>
          <w:iCs/>
          <w:sz w:val="21"/>
          <w:szCs w:val="21"/>
        </w:rPr>
        <w:t xml:space="preserve">Ben Geloun–Rivasseau (2012) · Furey (2012/18) · Carrozza (2014) · HaPPY (2015) · CCDR (2026)</w:t>
      </w:r>
    </w:p>
    <w:p>
      <w:pPr>
        <w:spacing w:after="45"/>
        <w:jc w:val="center"/>
      </w:pPr>
      <w:r>
        <w:rPr>
          <w:rFonts w:ascii="Cambria" w:cs="Cambria" w:eastAsia="Cambria" w:hAnsi="Cambria"/>
          <w:i/>
          <w:iCs/>
          <w:sz w:val="21"/>
          <w:szCs w:val="21"/>
        </w:rPr>
        <w:t xml:space="preserve">[Author names withheld] · March 2026</w:t>
      </w:r>
    </w:p>
    <w:p>
      <w:pPr>
        <w:spacing w:after="160"/>
      </w:pPr>
    </w:p>
    <w:p>
      <w:pPr>
        <w:pStyle w:val="Heading1"/>
        <w:spacing w:before="280" w:after="140"/>
      </w:pPr>
      <w:r>
        <w:rPr>
          <w:rFonts w:ascii="Cambria" w:cs="Cambria" w:eastAsia="Cambria" w:hAnsi="Cambria"/>
          <w:b/>
          <w:bCs/>
          <w:sz w:val="25"/>
          <w:szCs w:val="25"/>
        </w:rPr>
        <w:t xml:space="preserve">Abstract</w:t>
      </w:r>
    </w:p>
    <w:p>
      <w:pPr>
        <w:spacing w:after="85" w:line="255"/>
        <w:jc w:val="both"/>
      </w:pPr>
      <w:r>
        <w:rPr>
          <w:rFonts w:ascii="Cambria" w:cs="Cambria" w:eastAsia="Cambria" w:hAnsi="Cambria"/>
          <w:sz w:val="21"/>
          <w:szCs w:val="21"/>
        </w:rPr>
        <w:t xml:space="preserve">We present the definitive crystallographic synthesis: 12 primary frameworks, 3 alternative swappable branches, and 6 explicit resolution paths for remaining open problems. The primary chain integrates LGT, AS, SSM, RVM, AQN, CDT, TN, GFT+EPRL, TGFT-RG, DA/O, HaPPY, and CCDR. Two new integrations: TGFT-RG (Ben Geloun &amp; Rivasseau 2012, Carrozza 2014) provides the Wilsonian RG to derive ν and resolve γ convergence; DA/O (Furey 2012/2018, Baez 2001) provides an independent algebraic route to SU(3)×SU(2)×U(1) and constrains N ~ 6. Three fallback branches: CST ↔ CDT, EG ↔ CDT+TN, CFS ↔ CDT. Six resolution paths close the remaining gaps: the exact value of N via the Swampland programme (Vafa 2005); the neutrino hierarchy via discrete flavour symmetries as C₆ᵥ subgroups; C₀ via CST Sorkin counting + Hartle–Hawking on CDT; the strong CP problem via algebraic renormalisation with the overlap Dirac operator; the measurement problem via Diósi–Penrose gravitational collapse reinterpreted as crystal-state collapse; and the TGFT-RG for EPRL via the Bahr–Steinhaus spin foam RG bridge.</w:t>
      </w:r>
    </w:p>
    <w:p>
      <w:pPr>
        <w:pStyle w:val="Heading1"/>
        <w:spacing w:before="280" w:after="140"/>
      </w:pPr>
      <w:r>
        <w:rPr>
          <w:rFonts w:ascii="Cambria" w:cs="Cambria" w:eastAsia="Cambria" w:hAnsi="Cambria"/>
          <w:b/>
          <w:bCs/>
          <w:sz w:val="25"/>
          <w:szCs w:val="25"/>
        </w:rPr>
        <w:t xml:space="preserve">1. The 12 Primary Frameworks (Historical Order)</w:t>
      </w:r>
    </w:p>
    <w:p>
      <w:pPr>
        <w:pStyle w:val="Heading2"/>
        <w:spacing w:before="200" w:after="100"/>
      </w:pPr>
      <w:r>
        <w:rPr>
          <w:rFonts w:ascii="Cambria" w:cs="Cambria" w:eastAsia="Cambria" w:hAnsi="Cambria"/>
          <w:b/>
          <w:bCs/>
          <w:i/>
          <w:iCs/>
          <w:sz w:val="22"/>
          <w:szCs w:val="22"/>
        </w:rPr>
        <w:t xml:space="preserve">1.1 LGT — Wilson (1974)</w:t>
      </w:r>
    </w:p>
    <w:p>
      <w:pPr>
        <w:spacing w:after="85" w:line="255"/>
        <w:jc w:val="both"/>
      </w:pPr>
      <w:r>
        <w:rPr>
          <w:rFonts w:ascii="Cambria" w:cs="Cambria" w:eastAsia="Cambria" w:hAnsi="Cambria"/>
          <w:sz w:val="21"/>
          <w:szCs w:val="21"/>
        </w:rPr>
        <w:t xml:space="preserve">Computational engine. Monte Carlo machinery for CDT path integral, SSM spectral action, GFT condensate, fermion propagator.</w:t>
      </w:r>
    </w:p>
    <w:p>
      <w:pPr>
        <w:pStyle w:val="Heading2"/>
        <w:spacing w:before="200" w:after="100"/>
      </w:pPr>
      <w:r>
        <w:rPr>
          <w:rFonts w:ascii="Cambria" w:cs="Cambria" w:eastAsia="Cambria" w:hAnsi="Cambria"/>
          <w:b/>
          <w:bCs/>
          <w:i/>
          <w:iCs/>
          <w:sz w:val="22"/>
          <w:szCs w:val="22"/>
        </w:rPr>
        <w:t xml:space="preserve">1.2 AS — Weinberg (1979), Reuter (1998)</w:t>
      </w:r>
    </w:p>
    <w:p>
      <w:pPr>
        <w:spacing w:after="85" w:line="255"/>
        <w:jc w:val="both"/>
      </w:pPr>
      <w:r>
        <w:rPr>
          <w:rFonts w:ascii="Cambria" w:cs="Cambria" w:eastAsia="Cambria" w:hAnsi="Cambria"/>
          <w:sz w:val="21"/>
          <w:szCs w:val="21"/>
        </w:rPr>
        <w:t xml:space="preserve">UV fixed point G*. All coupling constants as RG eigenvalues.</w:t>
      </w:r>
    </w:p>
    <w:p>
      <w:pPr>
        <w:spacing w:before="110" w:after="110"/>
        <w:ind w:left="440"/>
      </w:pPr>
      <w:r>
        <w:rPr>
          <w:rFonts w:ascii="Cambria Math" w:cs="Cambria Math" w:eastAsia="Cambria Math" w:hAnsi="Cambria Math"/>
          <w:i/>
          <w:iCs/>
          <w:sz w:val="21"/>
          <w:szCs w:val="21"/>
        </w:rPr>
        <w:t xml:space="preserve">G(μ) → G*/μ², Λ(μ) → Λ*×μ² as μ → ∞</w:t>
      </w:r>
      <w:r>
        <w:rPr>
          <w:rFonts w:ascii="Cambria" w:cs="Cambria" w:eastAsia="Cambria" w:hAnsi="Cambria"/>
          <w:sz w:val="21"/>
          <w:szCs w:val="21"/>
        </w:rPr>
        <w:t xml:space="preserve">    (1)</w:t>
      </w:r>
    </w:p>
    <w:p>
      <w:pPr>
        <w:pStyle w:val="Heading2"/>
        <w:spacing w:before="200" w:after="100"/>
      </w:pPr>
      <w:r>
        <w:rPr>
          <w:rFonts w:ascii="Cambria" w:cs="Cambria" w:eastAsia="Cambria" w:hAnsi="Cambria"/>
          <w:b/>
          <w:bCs/>
          <w:i/>
          <w:iCs/>
          <w:sz w:val="22"/>
          <w:szCs w:val="22"/>
        </w:rPr>
        <w:t xml:space="preserve">1.3 SSM — Connes (1996), Chamseddine–Connes (2007)</w:t>
      </w:r>
    </w:p>
    <w:p>
      <w:pPr>
        <w:spacing w:before="110" w:after="110"/>
        <w:ind w:left="440"/>
      </w:pPr>
      <w:r>
        <w:rPr>
          <w:rFonts w:ascii="Cambria Math" w:cs="Cambria Math" w:eastAsia="Cambria Math" w:hAnsi="Cambria Math"/>
          <w:i/>
          <w:iCs/>
          <w:sz w:val="21"/>
          <w:szCs w:val="21"/>
        </w:rPr>
        <w:t xml:space="preserve">L_SM = Tr(f(D_CDT/Λ)) + ⟨Jψ, D_CDTψ⟩</w:t>
      </w:r>
      <w:r>
        <w:rPr>
          <w:rFonts w:ascii="Cambria" w:cs="Cambria" w:eastAsia="Cambria" w:hAnsi="Cambria"/>
          <w:sz w:val="21"/>
          <w:szCs w:val="21"/>
        </w:rPr>
        <w:t xml:space="preserve">    (2)</w:t>
      </w:r>
    </w:p>
    <w:p>
      <w:pPr>
        <w:spacing w:after="85" w:line="255"/>
        <w:jc w:val="both"/>
      </w:pPr>
      <w:r>
        <w:rPr>
          <w:rFonts w:ascii="Cambria" w:cs="Cambria" w:eastAsia="Cambria" w:hAnsi="Cambria"/>
          <w:sz w:val="21"/>
          <w:szCs w:val="21"/>
        </w:rPr>
        <w:t xml:space="preserve">Complete SM Lagrangian from spectral action on CDT geometry. Coupling constants as spectral invariants.</w:t>
      </w:r>
    </w:p>
    <w:p>
      <w:pPr>
        <w:pStyle w:val="Heading2"/>
        <w:spacing w:before="200" w:after="100"/>
      </w:pPr>
      <w:r>
        <w:rPr>
          <w:rFonts w:ascii="Cambria" w:cs="Cambria" w:eastAsia="Cambria" w:hAnsi="Cambria"/>
          <w:b/>
          <w:bCs/>
          <w:i/>
          <w:iCs/>
          <w:sz w:val="22"/>
          <w:szCs w:val="22"/>
        </w:rPr>
        <w:t xml:space="preserve">1.4 RVM — Shapiro &amp; Solà (2002)</w:t>
      </w:r>
    </w:p>
    <w:p>
      <w:pPr>
        <w:spacing w:before="110" w:after="110"/>
        <w:ind w:left="440"/>
      </w:pPr>
      <w:r>
        <w:rPr>
          <w:rFonts w:ascii="Cambria Math" w:cs="Cambria Math" w:eastAsia="Cambria Math" w:hAnsi="Cambria Math"/>
          <w:i/>
          <w:iCs/>
          <w:sz w:val="21"/>
          <w:szCs w:val="21"/>
        </w:rPr>
        <w:t xml:space="preserve">ρ_vac(H) = C₀ + νm²H²/M²_pl, ν ~ 10⁻³</w:t>
      </w:r>
      <w:r>
        <w:rPr>
          <w:rFonts w:ascii="Cambria" w:cs="Cambria" w:eastAsia="Cambria" w:hAnsi="Cambria"/>
          <w:sz w:val="21"/>
          <w:szCs w:val="21"/>
        </w:rPr>
        <w:t xml:space="preserve">    (3)</w:t>
      </w:r>
    </w:p>
    <w:p>
      <w:pPr>
        <w:spacing w:after="85" w:line="255"/>
        <w:jc w:val="both"/>
      </w:pPr>
      <w:r>
        <w:rPr>
          <w:rFonts w:ascii="Cambria" w:cs="Cambria" w:eastAsia="Cambria" w:hAnsi="Cambria"/>
          <w:sz w:val="21"/>
          <w:szCs w:val="21"/>
        </w:rPr>
        <w:t xml:space="preserve">Now derivable from TGFT-RG. Every testable prediction is ν or a function of ν.</w:t>
      </w:r>
    </w:p>
    <w:p>
      <w:pPr>
        <w:pStyle w:val="Heading2"/>
        <w:spacing w:before="200" w:after="100"/>
      </w:pPr>
      <w:r>
        <w:rPr>
          <w:rFonts w:ascii="Cambria" w:cs="Cambria" w:eastAsia="Cambria" w:hAnsi="Cambria"/>
          <w:b/>
          <w:bCs/>
          <w:i/>
          <w:iCs/>
          <w:sz w:val="22"/>
          <w:szCs w:val="22"/>
        </w:rPr>
        <w:t xml:space="preserve">1.5 AQN — Zhitnitsky (2003)</w:t>
      </w:r>
    </w:p>
    <w:p>
      <w:pPr>
        <w:spacing w:after="85" w:line="255"/>
        <w:jc w:val="both"/>
      </w:pPr>
      <w:r>
        <w:rPr>
          <w:rFonts w:ascii="Cambria" w:cs="Cambria" w:eastAsia="Cambria" w:hAnsi="Cambria"/>
          <w:sz w:val="21"/>
          <w:szCs w:val="21"/>
        </w:rPr>
        <w:t xml:space="preserve">DM as crystal defects. Anti-nuggets = antimatter repository. Ω_DM/Ω_B ≈ 5. Baryogenesis: η ~ ν×δ_CP×f_geo ~ 10⁻¹⁰.</w:t>
      </w:r>
    </w:p>
    <w:p>
      <w:pPr>
        <w:pStyle w:val="Heading2"/>
        <w:spacing w:before="200" w:after="100"/>
      </w:pPr>
      <w:r>
        <w:rPr>
          <w:rFonts w:ascii="Cambria" w:cs="Cambria" w:eastAsia="Cambria" w:hAnsi="Cambria"/>
          <w:b/>
          <w:bCs/>
          <w:i/>
          <w:iCs/>
          <w:sz w:val="22"/>
          <w:szCs w:val="22"/>
        </w:rPr>
        <w:t xml:space="preserve">1.6 CDT — Ambjørn, Jurkiewicz, Loll (2004)</w:t>
      </w:r>
    </w:p>
    <w:p>
      <w:pPr>
        <w:spacing w:after="85" w:line="255"/>
        <w:jc w:val="both"/>
      </w:pPr>
      <w:r>
        <w:rPr>
          <w:rFonts w:ascii="Cambria" w:cs="Cambria" w:eastAsia="Cambria" w:hAnsi="Cambria"/>
          <w:sz w:val="21"/>
          <w:szCs w:val="21"/>
        </w:rPr>
        <w:t xml:space="preserve">Simplicial path integral. S₅ → SU(3)×SU(2)_L×U(1)_Y. d_s: 4 → 2. Phases A/B/C/C_b. The foundation.</w:t>
      </w:r>
    </w:p>
    <w:p>
      <w:pPr>
        <w:pStyle w:val="Heading2"/>
        <w:spacing w:before="200" w:after="100"/>
      </w:pPr>
      <w:r>
        <w:rPr>
          <w:rFonts w:ascii="Cambria" w:cs="Cambria" w:eastAsia="Cambria" w:hAnsi="Cambria"/>
          <w:b/>
          <w:bCs/>
          <w:i/>
          <w:iCs/>
          <w:sz w:val="22"/>
          <w:szCs w:val="22"/>
        </w:rPr>
        <w:t xml:space="preserve">1.7 TN — Ryu–Takayanagi (2006), Hayden et al. (2016)</w:t>
      </w:r>
    </w:p>
    <w:p>
      <w:pPr>
        <w:spacing w:after="85" w:line="255"/>
        <w:jc w:val="both"/>
      </w:pPr>
      <w:r>
        <w:rPr>
          <w:rFonts w:ascii="Cambria" w:cs="Cambria" w:eastAsia="Cambria" w:hAnsi="Cambria"/>
          <w:sz w:val="21"/>
          <w:szCs w:val="21"/>
        </w:rPr>
        <w:t xml:space="preserve">S = Area/4G. D_eff → e^{1/4} as IR fixed point. Holographic bridge.</w:t>
      </w:r>
    </w:p>
    <w:p>
      <w:pPr>
        <w:pStyle w:val="Heading2"/>
        <w:spacing w:before="200" w:after="100"/>
      </w:pPr>
      <w:r>
        <w:rPr>
          <w:rFonts w:ascii="Cambria" w:cs="Cambria" w:eastAsia="Cambria" w:hAnsi="Cambria"/>
          <w:b/>
          <w:bCs/>
          <w:i/>
          <w:iCs/>
          <w:sz w:val="22"/>
          <w:szCs w:val="22"/>
        </w:rPr>
        <w:t xml:space="preserve">1.8 GFT+EPRL — Oriti (2007), EPRL (2008)</w:t>
      </w:r>
    </w:p>
    <w:p>
      <w:pPr>
        <w:spacing w:after="85" w:line="255"/>
        <w:jc w:val="both"/>
      </w:pPr>
      <w:r>
        <w:rPr>
          <w:rFonts w:ascii="Cambria" w:cs="Cambria" w:eastAsia="Cambria" w:hAnsi="Cambria"/>
          <w:sz w:val="21"/>
          <w:szCs w:val="21"/>
        </w:rPr>
        <w:t xml:space="preserve">GFT condensate → ν. EPRL chiral amplitude with Barbero–Immirzi γ → f_geo ~ 10⁻⁴.</w:t>
      </w:r>
    </w:p>
    <w:p>
      <w:pPr>
        <w:pStyle w:val="Heading2"/>
        <w:spacing w:before="200" w:after="100"/>
      </w:pPr>
      <w:r>
        <w:rPr>
          <w:rFonts w:ascii="Cambria" w:cs="Cambria" w:eastAsia="Cambria" w:hAnsi="Cambria"/>
          <w:b/>
          <w:bCs/>
          <w:i/>
          <w:iCs/>
          <w:sz w:val="22"/>
          <w:szCs w:val="22"/>
        </w:rPr>
        <w:t xml:space="preserve">1.9 TGFT-RG — Ben Geloun &amp; Rivasseau (2012), Carrozza (2014)</w:t>
      </w:r>
    </w:p>
    <w:p>
      <w:pPr>
        <w:spacing w:after="85" w:line="255"/>
        <w:jc w:val="both"/>
      </w:pPr>
      <w:r>
        <w:rPr>
          <w:rFonts w:ascii="Cambria" w:cs="Cambria" w:eastAsia="Cambria" w:hAnsi="Cambria"/>
          <w:b/>
          <w:bCs/>
          <w:sz w:val="21"/>
          <w:szCs w:val="21"/>
        </w:rPr>
        <w:t xml:space="preserve">Resolves: </w:t>
      </w:r>
      <w:r>
        <w:rPr>
          <w:rFonts w:ascii="Cambria" w:cs="Cambria" w:eastAsia="Cambria" w:hAnsi="Cambria"/>
          <w:sz w:val="21"/>
          <w:szCs w:val="21"/>
        </w:rPr>
        <w:t xml:space="preserve">ν as RG fixed-point output; γ_AS ≈ γ_EPRL convergence; condensate stability; CDT A → C as UV→IR transition.</w:t>
      </w:r>
    </w:p>
    <w:p>
      <w:pPr>
        <w:pStyle w:val="Heading2"/>
        <w:spacing w:before="200" w:after="100"/>
      </w:pPr>
      <w:r>
        <w:rPr>
          <w:rFonts w:ascii="Cambria" w:cs="Cambria" w:eastAsia="Cambria" w:hAnsi="Cambria"/>
          <w:b/>
          <w:bCs/>
          <w:i/>
          <w:iCs/>
          <w:sz w:val="22"/>
          <w:szCs w:val="22"/>
        </w:rPr>
        <w:t xml:space="preserve">1.10 DA/O — Furey (2012/2018), Baez (2001)</w:t>
      </w:r>
    </w:p>
    <w:p>
      <w:pPr>
        <w:spacing w:after="85" w:line="255"/>
        <w:jc w:val="both"/>
      </w:pPr>
      <w:r>
        <w:rPr>
          <w:rFonts w:ascii="Cambria" w:cs="Cambria" w:eastAsia="Cambria" w:hAnsi="Cambria"/>
          <w:b/>
          <w:bCs/>
          <w:sz w:val="21"/>
          <w:szCs w:val="21"/>
        </w:rPr>
        <w:t xml:space="preserve">Adds: </w:t>
      </w:r>
      <w:r>
        <w:rPr>
          <w:rFonts w:ascii="Cambria" w:cs="Cambria" w:eastAsia="Cambria" w:hAnsi="Cambria"/>
          <w:sz w:val="21"/>
          <w:szCs w:val="21"/>
        </w:rPr>
        <w:t xml:space="preserve">independent algebraic route C⊗H⊗O → SU(3)×SU(2)×U(1); constrains N ~ 6; algebraic foundation for Connes’ F; 3 BZ directions ↔ (C⊗H⊗O)³.</w:t>
      </w:r>
    </w:p>
    <w:p>
      <w:pPr>
        <w:pStyle w:val="Heading2"/>
        <w:spacing w:before="200" w:after="100"/>
      </w:pPr>
      <w:r>
        <w:rPr>
          <w:rFonts w:ascii="Cambria" w:cs="Cambria" w:eastAsia="Cambria" w:hAnsi="Cambria"/>
          <w:b/>
          <w:bCs/>
          <w:i/>
          <w:iCs/>
          <w:sz w:val="22"/>
          <w:szCs w:val="22"/>
        </w:rPr>
        <w:t xml:space="preserve">1.11 HaPPY — Pastawski et al. (2015)</w:t>
      </w:r>
    </w:p>
    <w:p>
      <w:pPr>
        <w:spacing w:after="85" w:line="255"/>
        <w:jc w:val="both"/>
      </w:pPr>
      <w:r>
        <w:rPr>
          <w:rFonts w:ascii="Cambria" w:cs="Cambria" w:eastAsia="Cambria" w:hAnsi="Cambria"/>
          <w:sz w:val="21"/>
          <w:szCs w:val="21"/>
        </w:rPr>
        <w:t xml:space="preserve">Holographic QEC. Code distance from RT surface. f_NL sign change at l ~ 30.</w:t>
      </w:r>
    </w:p>
    <w:p>
      <w:pPr>
        <w:pStyle w:val="Heading2"/>
        <w:spacing w:before="200" w:after="100"/>
      </w:pPr>
      <w:r>
        <w:rPr>
          <w:rFonts w:ascii="Cambria" w:cs="Cambria" w:eastAsia="Cambria" w:hAnsi="Cambria"/>
          <w:b/>
          <w:bCs/>
          <w:i/>
          <w:iCs/>
          <w:sz w:val="22"/>
          <w:szCs w:val="22"/>
        </w:rPr>
        <w:t xml:space="preserve">1.12 CCDR (2026)</w:t>
      </w:r>
    </w:p>
    <w:p>
      <w:pPr>
        <w:spacing w:before="110" w:after="110"/>
        <w:ind w:left="440"/>
      </w:pPr>
      <w:r>
        <w:rPr>
          <w:rFonts w:ascii="Cambria Math" w:cs="Cambria Math" w:eastAsia="Cambria Math" w:hAnsi="Cambria Math"/>
          <w:i/>
          <w:iCs/>
          <w:sz w:val="21"/>
          <w:szCs w:val="21"/>
        </w:rPr>
        <w:t xml:space="preserve">χ = S_bulk/(A/4G) → 1 triggers dimensional reduction</w:t>
      </w:r>
      <w:r>
        <w:rPr>
          <w:rFonts w:ascii="Cambria" w:cs="Cambria" w:eastAsia="Cambria" w:hAnsi="Cambria"/>
          <w:sz w:val="21"/>
          <w:szCs w:val="21"/>
        </w:rPr>
        <w:t xml:space="preserve">    (4)</w:t>
      </w:r>
    </w:p>
    <w:p>
      <w:pPr>
        <w:spacing w:after="85" w:line="255"/>
        <w:jc w:val="both"/>
      </w:pPr>
      <w:r>
        <w:rPr>
          <w:rFonts w:ascii="Cambria" w:cs="Cambria" w:eastAsia="Cambria" w:hAnsi="Cambria"/>
          <w:sz w:val="21"/>
          <w:szCs w:val="21"/>
        </w:rPr>
        <w:t xml:space="preserve">The unifying crystallographic principle.</w:t>
      </w:r>
    </w:p>
    <w:p>
      <w:pPr>
        <w:pStyle w:val="Heading1"/>
        <w:spacing w:before="280" w:after="140"/>
      </w:pPr>
      <w:r>
        <w:rPr>
          <w:rFonts w:ascii="Cambria" w:cs="Cambria" w:eastAsia="Cambria" w:hAnsi="Cambria"/>
          <w:b/>
          <w:bCs/>
          <w:sz w:val="25"/>
          <w:szCs w:val="25"/>
        </w:rPr>
        <w:t xml:space="preserve">2. Three Alternative Swappable Branches</w:t>
      </w:r>
    </w:p>
    <w:p>
      <w:pPr>
        <w:pStyle w:val="Heading2"/>
        <w:spacing w:before="200" w:after="100"/>
      </w:pPr>
      <w:r>
        <w:rPr>
          <w:rFonts w:ascii="Cambria" w:cs="Cambria" w:eastAsia="Cambria" w:hAnsi="Cambria"/>
          <w:b/>
          <w:bCs/>
          <w:i/>
          <w:iCs/>
          <w:sz w:val="22"/>
          <w:szCs w:val="22"/>
        </w:rPr>
        <w:t xml:space="preserve">2.1 CST ↔ CDT — Bombelli, Sorkin (1987)</w:t>
      </w:r>
    </w:p>
    <w:p>
      <w:pPr>
        <w:spacing w:after="85" w:line="255"/>
        <w:jc w:val="both"/>
      </w:pPr>
      <w:r>
        <w:rPr>
          <w:rFonts w:ascii="Cambria" w:cs="Cambria" w:eastAsia="Cambria" w:hAnsi="Cambria"/>
          <w:sz w:val="21"/>
          <w:szCs w:val="21"/>
        </w:rPr>
        <w:t xml:space="preserve">Spacetime as locally finite poset. Λ ~ 1/√N from Poisson counting. Swap when CDT C-phase fails. Gauge group via DA/O. Gains: C₀ from Sorkin. Loses: S₅, BZ, phonon picture.</w:t>
      </w:r>
    </w:p>
    <w:p>
      <w:pPr>
        <w:pStyle w:val="Heading2"/>
        <w:spacing w:before="200" w:after="100"/>
      </w:pPr>
      <w:r>
        <w:rPr>
          <w:rFonts w:ascii="Cambria" w:cs="Cambria" w:eastAsia="Cambria" w:hAnsi="Cambria"/>
          <w:b/>
          <w:bCs/>
          <w:i/>
          <w:iCs/>
          <w:sz w:val="22"/>
          <w:szCs w:val="22"/>
        </w:rPr>
        <w:t xml:space="preserve">2.2 EG ↔ CDT+TN — Jacobson (1995), Verlinde (2011/2017)</w:t>
      </w:r>
    </w:p>
    <w:p>
      <w:pPr>
        <w:spacing w:after="85" w:line="255"/>
        <w:jc w:val="both"/>
      </w:pPr>
      <w:r>
        <w:rPr>
          <w:rFonts w:ascii="Cambria" w:cs="Cambria" w:eastAsia="Cambria" w:hAnsi="Cambria"/>
          <w:sz w:val="21"/>
          <w:szCs w:val="21"/>
        </w:rPr>
        <w:t xml:space="preserve">Einstein eqs from δQ = TdS on horizons. MOND from dS entanglement entropy. Swap when CDT+TN fails to produce gravity.</w:t>
      </w:r>
    </w:p>
    <w:p>
      <w:pPr>
        <w:pStyle w:val="Heading2"/>
        <w:spacing w:before="200" w:after="100"/>
      </w:pPr>
      <w:r>
        <w:rPr>
          <w:rFonts w:ascii="Cambria" w:cs="Cambria" w:eastAsia="Cambria" w:hAnsi="Cambria"/>
          <w:b/>
          <w:bCs/>
          <w:i/>
          <w:iCs/>
          <w:sz w:val="22"/>
          <w:szCs w:val="22"/>
        </w:rPr>
        <w:t xml:space="preserve">2.3 CFS ↔ CDT — Finster (2006)</w:t>
      </w:r>
    </w:p>
    <w:p>
      <w:pPr>
        <w:spacing w:after="85" w:line="255"/>
        <w:jc w:val="both"/>
      </w:pPr>
      <w:r>
        <w:rPr>
          <w:rFonts w:ascii="Cambria" w:cs="Cambria" w:eastAsia="Cambria" w:hAnsi="Cambria"/>
          <w:sz w:val="21"/>
          <w:szCs w:val="21"/>
        </w:rPr>
        <w:t xml:space="preserve">Spacetime from operator measure in Hilbert space. Einstein+Dirac from single variational principle. Swap when CDT’s discreteness is wrong but causality preserved.</w:t>
      </w:r>
    </w:p>
    <w:p>
      <w:pPr>
        <w:pStyle w:val="Heading1"/>
        <w:spacing w:before="280" w:after="140"/>
      </w:pPr>
      <w:r>
        <w:rPr>
          <w:rFonts w:ascii="Cambria" w:cs="Cambria" w:eastAsia="Cambria" w:hAnsi="Cambria"/>
          <w:b/>
          <w:bCs/>
          <w:sz w:val="25"/>
          <w:szCs w:val="25"/>
        </w:rPr>
        <w:t xml:space="preserve">3. Swap Table</w:t>
      </w:r>
    </w:p>
    <w:p>
      <w:pPr>
        <w:spacing w:after="85" w:line="255"/>
        <w:jc w:val="both"/>
      </w:pPr>
      <w:r>
        <w:rPr>
          <w:rFonts w:ascii="Cambria" w:cs="Cambria" w:eastAsia="Cambria" w:hAnsi="Cambria"/>
          <w:b/>
          <w:bCs/>
          <w:sz w:val="21"/>
          <w:szCs w:val="21"/>
        </w:rPr>
        <w:t xml:space="preserve">CDT → CST: </w:t>
      </w:r>
      <w:r>
        <w:rPr>
          <w:rFonts w:ascii="Cambria" w:cs="Cambria" w:eastAsia="Cambria" w:hAnsi="Cambria"/>
          <w:sz w:val="21"/>
          <w:szCs w:val="21"/>
        </w:rPr>
        <w:t xml:space="preserve">CCDR survives. Gauge group from DA/O. Λ from Sorkin.</w:t>
      </w:r>
    </w:p>
    <w:p>
      <w:pPr>
        <w:spacing w:after="85" w:line="255"/>
        <w:jc w:val="both"/>
      </w:pPr>
      <w:r>
        <w:rPr>
          <w:rFonts w:ascii="Cambria" w:cs="Cambria" w:eastAsia="Cambria" w:hAnsi="Cambria"/>
          <w:b/>
          <w:bCs/>
          <w:sz w:val="21"/>
          <w:szCs w:val="21"/>
        </w:rPr>
        <w:t xml:space="preserve">CDT → CFS: </w:t>
      </w:r>
      <w:r>
        <w:rPr>
          <w:rFonts w:ascii="Cambria" w:cs="Cambria" w:eastAsia="Cambria" w:hAnsi="Cambria"/>
          <w:sz w:val="21"/>
          <w:szCs w:val="21"/>
        </w:rPr>
        <w:t xml:space="preserve">CCDR survives (reinterpreted on operator measure). Einstein+Dirac unified.</w:t>
      </w:r>
    </w:p>
    <w:p>
      <w:pPr>
        <w:spacing w:after="85" w:line="255"/>
        <w:jc w:val="both"/>
      </w:pPr>
      <w:r>
        <w:rPr>
          <w:rFonts w:ascii="Cambria" w:cs="Cambria" w:eastAsia="Cambria" w:hAnsi="Cambria"/>
          <w:b/>
          <w:bCs/>
          <w:sz w:val="21"/>
          <w:szCs w:val="21"/>
        </w:rPr>
        <w:t xml:space="preserve">CDT+TN → EG: </w:t>
      </w:r>
      <w:r>
        <w:rPr>
          <w:rFonts w:ascii="Cambria" w:cs="Cambria" w:eastAsia="Cambria" w:hAnsi="Cambria"/>
          <w:sz w:val="21"/>
          <w:szCs w:val="21"/>
        </w:rPr>
        <w:t xml:space="preserve">Gravity from Jacobson. MOND from Verlinde.</w:t>
      </w:r>
    </w:p>
    <w:p>
      <w:pPr>
        <w:spacing w:after="85" w:line="255"/>
        <w:jc w:val="both"/>
      </w:pPr>
      <w:r>
        <w:rPr>
          <w:rFonts w:ascii="Cambria" w:cs="Cambria" w:eastAsia="Cambria" w:hAnsi="Cambria"/>
          <w:b/>
          <w:bCs/>
          <w:sz w:val="21"/>
          <w:szCs w:val="21"/>
        </w:rPr>
        <w:t xml:space="preserve">GFT fails: </w:t>
      </w:r>
      <w:r>
        <w:rPr>
          <w:rFonts w:ascii="Cambria" w:cs="Cambria" w:eastAsia="Cambria" w:hAnsi="Cambria"/>
          <w:sz w:val="21"/>
          <w:szCs w:val="21"/>
        </w:rPr>
        <w:t xml:space="preserve">ν reverts to RVM fit parameter.</w:t>
      </w:r>
    </w:p>
    <w:p>
      <w:pPr>
        <w:spacing w:after="85" w:line="255"/>
        <w:jc w:val="both"/>
      </w:pPr>
      <w:r>
        <w:rPr>
          <w:rFonts w:ascii="Cambria" w:cs="Cambria" w:eastAsia="Cambria" w:hAnsi="Cambria"/>
          <w:b/>
          <w:bCs/>
          <w:sz w:val="21"/>
          <w:szCs w:val="21"/>
        </w:rPr>
        <w:t xml:space="preserve">SSM fails: </w:t>
      </w:r>
      <w:r>
        <w:rPr>
          <w:rFonts w:ascii="Cambria" w:cs="Cambria" w:eastAsia="Cambria" w:hAnsi="Cambria"/>
          <w:sz w:val="21"/>
          <w:szCs w:val="21"/>
        </w:rPr>
        <w:t xml:space="preserve">gauge group from DA/O alone.</w:t>
      </w:r>
    </w:p>
    <w:p>
      <w:pPr>
        <w:spacing w:after="85" w:line="255"/>
        <w:jc w:val="both"/>
      </w:pPr>
      <w:r>
        <w:rPr>
          <w:rFonts w:ascii="Cambria" w:cs="Cambria" w:eastAsia="Cambria" w:hAnsi="Cambria"/>
          <w:b/>
          <w:bCs/>
          <w:sz w:val="21"/>
          <w:szCs w:val="21"/>
        </w:rPr>
        <w:t xml:space="preserve">CCDR core fails: </w:t>
      </w:r>
      <w:r>
        <w:rPr>
          <w:rFonts w:ascii="Cambria" w:cs="Cambria" w:eastAsia="Cambria" w:hAnsi="Cambria"/>
          <w:sz w:val="21"/>
          <w:szCs w:val="21"/>
        </w:rPr>
        <w:t xml:space="preserve">all frameworks survive independently. Only crystallographic interpretation lost.</w:t>
      </w:r>
    </w:p>
    <w:p>
      <w:pPr>
        <w:pStyle w:val="Heading1"/>
        <w:spacing w:before="280" w:after="140"/>
      </w:pPr>
      <w:r>
        <w:rPr>
          <w:rFonts w:ascii="Cambria" w:cs="Cambria" w:eastAsia="Cambria" w:hAnsi="Cambria"/>
          <w:b/>
          <w:bCs/>
          <w:sz w:val="25"/>
          <w:szCs w:val="25"/>
        </w:rPr>
        <w:t xml:space="preserve">4. The Complete Equation Chain</w:t>
      </w:r>
    </w:p>
    <w:p>
      <w:pPr>
        <w:spacing w:before="110" w:after="110"/>
        <w:ind w:left="440"/>
      </w:pPr>
      <w:r>
        <w:rPr>
          <w:rFonts w:ascii="Cambria Math" w:cs="Cambria Math" w:eastAsia="Cambria Math" w:hAnsi="Cambria Math"/>
          <w:i/>
          <w:iCs/>
          <w:sz w:val="21"/>
          <w:szCs w:val="21"/>
        </w:rPr>
        <w:t xml:space="preserve">CDT simplices → S₅ → D_CDT → Tr(f(D/Λ)) = L_SM [SSM]</w:t>
      </w:r>
    </w:p>
    <w:p>
      <w:pPr>
        <w:spacing w:before="110" w:after="110"/>
        <w:ind w:left="440"/>
      </w:pPr>
      <w:r>
        <w:rPr>
          <w:rFonts w:ascii="Cambria Math" w:cs="Cambria Math" w:eastAsia="Cambria Math" w:hAnsi="Cambria Math"/>
          <w:i/>
          <w:iCs/>
          <w:sz w:val="21"/>
          <w:szCs w:val="21"/>
        </w:rPr>
        <w:t xml:space="preserve">→ cross-check: C⊗H⊗O → same gauge group [DA/O]</w:t>
      </w:r>
    </w:p>
    <w:p>
      <w:pPr>
        <w:spacing w:before="110" w:after="110"/>
        <w:ind w:left="440"/>
      </w:pPr>
      <w:r>
        <w:rPr>
          <w:rFonts w:ascii="Cambria Math" w:cs="Cambria Math" w:eastAsia="Cambria Math" w:hAnsi="Cambria Math"/>
          <w:i/>
          <w:iCs/>
          <w:sz w:val="21"/>
          <w:szCs w:val="21"/>
        </w:rPr>
        <w:t xml:space="preserve">→ G*, α* [AS] → RG running → α = 1/137 [LGT]</w:t>
      </w:r>
    </w:p>
    <w:p>
      <w:pPr>
        <w:spacing w:before="110" w:after="110"/>
        <w:ind w:left="440"/>
      </w:pPr>
      <w:r>
        <w:rPr>
          <w:rFonts w:ascii="Cambria Math" w:cs="Cambria Math" w:eastAsia="Cambria Math" w:hAnsi="Cambria Math"/>
          <w:i/>
          <w:iCs/>
          <w:sz w:val="21"/>
          <w:szCs w:val="21"/>
        </w:rPr>
        <w:t xml:space="preserve">→ TN, D_eff → e^{1/4} [TN] → GFT condensate → ν [TGFT-RG]</w:t>
      </w:r>
    </w:p>
    <w:p>
      <w:pPr>
        <w:spacing w:before="110" w:after="110"/>
        <w:ind w:left="440"/>
      </w:pPr>
      <w:r>
        <w:rPr>
          <w:rFonts w:ascii="Cambria Math" w:cs="Cambria Math" w:eastAsia="Cambria Math" w:hAnsi="Cambria Math"/>
          <w:i/>
          <w:iCs/>
          <w:sz w:val="21"/>
          <w:szCs w:val="21"/>
        </w:rPr>
        <w:t xml:space="preserve">→ EPRL chiral amplitude → f_geo → γ convergence [TGFT-RG]</w:t>
      </w:r>
    </w:p>
    <w:p>
      <w:pPr>
        <w:spacing w:before="110" w:after="110"/>
        <w:ind w:left="440"/>
      </w:pPr>
      <w:r>
        <w:rPr>
          <w:rFonts w:ascii="Cambria Math" w:cs="Cambria Math" w:eastAsia="Cambria Math" w:hAnsi="Cambria Math"/>
          <w:i/>
          <w:iCs/>
          <w:sz w:val="21"/>
          <w:szCs w:val="21"/>
        </w:rPr>
        <w:t xml:space="preserve">→ ρ_vac(H) [RVM] → χ → 1, crystal nucleation [CCDR]</w:t>
      </w:r>
    </w:p>
    <w:p>
      <w:pPr>
        <w:spacing w:before="110" w:after="110"/>
        <w:ind w:left="440"/>
      </w:pPr>
      <w:r>
        <w:rPr>
          <w:rFonts w:ascii="Cambria Math" w:cs="Cambria Math" w:eastAsia="Cambria Math" w:hAnsi="Cambria Math"/>
          <w:i/>
          <w:iCs/>
          <w:sz w:val="21"/>
          <w:szCs w:val="21"/>
        </w:rPr>
        <w:t xml:space="preserve">→ PQ → EW → QCD = AQN [crystallisation cascade]</w:t>
      </w:r>
    </w:p>
    <w:p>
      <w:pPr>
        <w:spacing w:before="110" w:after="110"/>
        <w:ind w:left="440"/>
      </w:pPr>
      <w:r>
        <w:rPr>
          <w:rFonts w:ascii="Cambria Math" w:cs="Cambria Math" w:eastAsia="Cambria Math" w:hAnsi="Cambria Math"/>
          <w:i/>
          <w:iCs/>
          <w:sz w:val="21"/>
          <w:szCs w:val="21"/>
        </w:rPr>
        <w:t xml:space="preserve">→ η ~ ν×δ_CP×f_geo ~ 10⁻¹⁰ [all frameworks]</w:t>
      </w:r>
    </w:p>
    <w:p>
      <w:pPr>
        <w:spacing w:before="110" w:after="110"/>
        <w:ind w:left="440"/>
      </w:pPr>
      <w:r>
        <w:rPr>
          <w:rFonts w:ascii="Cambria Math" w:cs="Cambria Math" w:eastAsia="Cambria Math" w:hAnsi="Cambria Math"/>
          <w:i/>
          <w:iCs/>
          <w:sz w:val="21"/>
          <w:szCs w:val="21"/>
        </w:rPr>
        <w:t xml:space="preserve">→ HaPPY QEC → BAO (δr*/r* ~ ν/2) → MOND (a₀ = cH₀) → dS</w:t>
      </w:r>
      <w:r>
        <w:rPr>
          <w:rFonts w:ascii="Cambria" w:cs="Cambria" w:eastAsia="Cambria" w:hAnsi="Cambria"/>
          <w:sz w:val="21"/>
          <w:szCs w:val="21"/>
        </w:rPr>
        <w:t xml:space="preserve">    (5)</w:t>
      </w:r>
    </w:p>
    <w:p>
      <w:pPr>
        <w:pStyle w:val="Heading1"/>
        <w:spacing w:before="280" w:after="140"/>
      </w:pPr>
      <w:r>
        <w:rPr>
          <w:rFonts w:ascii="Cambria" w:cs="Cambria" w:eastAsia="Cambria" w:hAnsi="Cambria"/>
          <w:b/>
          <w:bCs/>
          <w:sz w:val="25"/>
          <w:szCs w:val="25"/>
        </w:rPr>
        <w:t xml:space="preserve">5. Predictions from New Integrations (P21–P26)</w:t>
      </w:r>
    </w:p>
    <w:p>
      <w:pPr>
        <w:spacing w:after="85" w:line="255"/>
        <w:jc w:val="both"/>
      </w:pPr>
      <w:r>
        <w:rPr>
          <w:rFonts w:ascii="Cambria" w:cs="Cambria" w:eastAsia="Cambria" w:hAnsi="Cambria"/>
          <w:b/>
          <w:bCs/>
          <w:sz w:val="21"/>
          <w:szCs w:val="21"/>
        </w:rPr>
        <w:t xml:space="preserve">P21: </w:t>
      </w:r>
      <w:r>
        <w:rPr>
          <w:rFonts w:ascii="Cambria" w:cs="Cambria" w:eastAsia="Cambria" w:hAnsi="Cambria"/>
          <w:sz w:val="21"/>
          <w:szCs w:val="21"/>
        </w:rPr>
        <w:t xml:space="preserve">TGFT-RG condensate ν = 10⁻³ ± 10⁻⁴ from IR fixed point.</w:t>
      </w:r>
    </w:p>
    <w:p>
      <w:pPr>
        <w:spacing w:after="85" w:line="255"/>
        <w:jc w:val="both"/>
      </w:pPr>
      <w:r>
        <w:rPr>
          <w:rFonts w:ascii="Cambria" w:cs="Cambria" w:eastAsia="Cambria" w:hAnsi="Cambria"/>
          <w:b/>
          <w:bCs/>
          <w:sz w:val="21"/>
          <w:szCs w:val="21"/>
        </w:rPr>
        <w:t xml:space="preserve">P22: </w:t>
      </w:r>
      <w:r>
        <w:rPr>
          <w:rFonts w:ascii="Cambria" w:cs="Cambria" w:eastAsia="Cambria" w:hAnsi="Cambria"/>
          <w:sz w:val="21"/>
          <w:szCs w:val="21"/>
        </w:rPr>
        <w:t xml:space="preserve">γ_AS ≈ γ_EPRL convergence under TGFT-RG flow.</w:t>
      </w:r>
    </w:p>
    <w:p>
      <w:pPr>
        <w:spacing w:after="85" w:line="255"/>
        <w:jc w:val="both"/>
      </w:pPr>
      <w:r>
        <w:rPr>
          <w:rFonts w:ascii="Cambria" w:cs="Cambria" w:eastAsia="Cambria" w:hAnsi="Cambria"/>
          <w:b/>
          <w:bCs/>
          <w:sz w:val="21"/>
          <w:szCs w:val="21"/>
        </w:rPr>
        <w:t xml:space="preserve">P23: </w:t>
      </w:r>
      <w:r>
        <w:rPr>
          <w:rFonts w:ascii="Cambria" w:cs="Cambria" w:eastAsia="Cambria" w:hAnsi="Cambria"/>
          <w:sz w:val="21"/>
          <w:szCs w:val="21"/>
        </w:rPr>
        <w:t xml:space="preserve">TGFT-RG phase transition: symmetric (A-phase) → condensate (C-phase).</w:t>
      </w:r>
    </w:p>
    <w:p>
      <w:pPr>
        <w:spacing w:after="85" w:line="255"/>
        <w:jc w:val="both"/>
      </w:pPr>
      <w:r>
        <w:rPr>
          <w:rFonts w:ascii="Cambria" w:cs="Cambria" w:eastAsia="Cambria" w:hAnsi="Cambria"/>
          <w:b/>
          <w:bCs/>
          <w:sz w:val="21"/>
          <w:szCs w:val="21"/>
        </w:rPr>
        <w:t xml:space="preserve">P24: </w:t>
      </w:r>
      <w:r>
        <w:rPr>
          <w:rFonts w:ascii="Cambria" w:cs="Cambria" w:eastAsia="Cambria" w:hAnsi="Cambria"/>
          <w:sz w:val="21"/>
          <w:szCs w:val="21"/>
        </w:rPr>
        <w:t xml:space="preserve">C⊗H⊗O automorphism = S₅ → SU(3)×SU(2)×U(1) (cross-check).</w:t>
      </w:r>
    </w:p>
    <w:p>
      <w:pPr>
        <w:spacing w:after="85" w:line="255"/>
        <w:jc w:val="both"/>
      </w:pPr>
      <w:r>
        <w:rPr>
          <w:rFonts w:ascii="Cambria" w:cs="Cambria" w:eastAsia="Cambria" w:hAnsi="Cambria"/>
          <w:b/>
          <w:bCs/>
          <w:sz w:val="21"/>
          <w:szCs w:val="21"/>
        </w:rPr>
        <w:t xml:space="preserve">P25: </w:t>
      </w:r>
      <w:r>
        <w:rPr>
          <w:rFonts w:ascii="Cambria" w:cs="Cambria" w:eastAsia="Cambria" w:hAnsi="Cambria"/>
          <w:sz w:val="21"/>
          <w:szCs w:val="21"/>
        </w:rPr>
        <w:t xml:space="preserve">N = 6 from DA/O = AQN (k_eff = 1/6) = HaPPY code dimension.</w:t>
      </w:r>
    </w:p>
    <w:p>
      <w:pPr>
        <w:spacing w:after="85" w:line="255"/>
        <w:jc w:val="both"/>
      </w:pPr>
      <w:r>
        <w:rPr>
          <w:rFonts w:ascii="Cambria" w:cs="Cambria" w:eastAsia="Cambria" w:hAnsi="Cambria"/>
          <w:b/>
          <w:bCs/>
          <w:sz w:val="21"/>
          <w:szCs w:val="21"/>
        </w:rPr>
        <w:t xml:space="preserve">P26: </w:t>
      </w:r>
      <w:r>
        <w:rPr>
          <w:rFonts w:ascii="Cambria" w:cs="Cambria" w:eastAsia="Cambria" w:hAnsi="Cambria"/>
          <w:sz w:val="21"/>
          <w:szCs w:val="21"/>
        </w:rPr>
        <w:t xml:space="preserve">Three BZ directions ↔ (C⊗H⊗O)³ (algebraic verification).</w:t>
      </w:r>
    </w:p>
    <w:p>
      <w:pPr>
        <w:pStyle w:val="Heading1"/>
        <w:spacing w:before="280" w:after="140"/>
      </w:pPr>
      <w:r>
        <w:rPr>
          <w:rFonts w:ascii="Cambria" w:cs="Cambria" w:eastAsia="Cambria" w:hAnsi="Cambria"/>
          <w:b/>
          <w:bCs/>
          <w:sz w:val="25"/>
          <w:szCs w:val="25"/>
        </w:rPr>
        <w:t xml:space="preserve">6. Layered Falsifiability with Fallback Paths</w:t>
      </w:r>
    </w:p>
    <w:p>
      <w:pPr>
        <w:spacing w:after="85" w:line="255"/>
        <w:jc w:val="both"/>
      </w:pPr>
      <w:r>
        <w:rPr>
          <w:rFonts w:ascii="Cambria" w:cs="Cambria" w:eastAsia="Cambria" w:hAnsi="Cambria"/>
          <w:b/>
          <w:bCs/>
          <w:sz w:val="21"/>
          <w:szCs w:val="21"/>
        </w:rPr>
        <w:t xml:space="preserve">Layer 0 (CDT): </w:t>
      </w:r>
      <w:r>
        <w:rPr>
          <w:rFonts w:ascii="Cambria" w:cs="Cambria" w:eastAsia="Cambria" w:hAnsi="Cambria"/>
          <w:sz w:val="21"/>
          <w:szCs w:val="21"/>
        </w:rPr>
        <w:t xml:space="preserve">fail → CST or CFS. CCDR survives.</w:t>
      </w:r>
    </w:p>
    <w:p>
      <w:pPr>
        <w:spacing w:after="85" w:line="255"/>
        <w:jc w:val="both"/>
      </w:pPr>
      <w:r>
        <w:rPr>
          <w:rFonts w:ascii="Cambria" w:cs="Cambria" w:eastAsia="Cambria" w:hAnsi="Cambria"/>
          <w:b/>
          <w:bCs/>
          <w:sz w:val="21"/>
          <w:szCs w:val="21"/>
        </w:rPr>
        <w:t xml:space="preserve">Layer 1 (GFT+TGFT-RG): </w:t>
      </w:r>
      <w:r>
        <w:rPr>
          <w:rFonts w:ascii="Cambria" w:cs="Cambria" w:eastAsia="Cambria" w:hAnsi="Cambria"/>
          <w:sz w:val="21"/>
          <w:szCs w:val="21"/>
        </w:rPr>
        <w:t xml:space="preserve">fail → ν from fit. CDT standalone.</w:t>
      </w:r>
    </w:p>
    <w:p>
      <w:pPr>
        <w:spacing w:after="85" w:line="255"/>
        <w:jc w:val="both"/>
      </w:pPr>
      <w:r>
        <w:rPr>
          <w:rFonts w:ascii="Cambria" w:cs="Cambria" w:eastAsia="Cambria" w:hAnsi="Cambria"/>
          <w:b/>
          <w:bCs/>
          <w:sz w:val="21"/>
          <w:szCs w:val="21"/>
        </w:rPr>
        <w:t xml:space="preserve">Layer 2 (TN+HaPPY): </w:t>
      </w:r>
      <w:r>
        <w:rPr>
          <w:rFonts w:ascii="Cambria" w:cs="Cambria" w:eastAsia="Cambria" w:hAnsi="Cambria"/>
          <w:sz w:val="21"/>
          <w:szCs w:val="21"/>
        </w:rPr>
        <w:t xml:space="preserve">fail → EG (Jacobson–Verlinde).</w:t>
      </w:r>
    </w:p>
    <w:p>
      <w:pPr>
        <w:spacing w:after="85" w:line="255"/>
        <w:jc w:val="both"/>
      </w:pPr>
      <w:r>
        <w:rPr>
          <w:rFonts w:ascii="Cambria" w:cs="Cambria" w:eastAsia="Cambria" w:hAnsi="Cambria"/>
          <w:b/>
          <w:bCs/>
          <w:sz w:val="21"/>
          <w:szCs w:val="21"/>
        </w:rPr>
        <w:t xml:space="preserve">Layer 3 (SSM+AS+DA/O): </w:t>
      </w:r>
      <w:r>
        <w:rPr>
          <w:rFonts w:ascii="Cambria" w:cs="Cambria" w:eastAsia="Cambria" w:hAnsi="Cambria"/>
          <w:sz w:val="21"/>
          <w:szCs w:val="21"/>
        </w:rPr>
        <w:t xml:space="preserve">SSM fail → DA/O. DA/O fail → SSM. Both → empirical.</w:t>
      </w:r>
    </w:p>
    <w:p>
      <w:pPr>
        <w:spacing w:after="85" w:line="255"/>
        <w:jc w:val="both"/>
      </w:pPr>
      <w:r>
        <w:rPr>
          <w:rFonts w:ascii="Cambria" w:cs="Cambria" w:eastAsia="Cambria" w:hAnsi="Cambria"/>
          <w:b/>
          <w:bCs/>
          <w:sz w:val="21"/>
          <w:szCs w:val="21"/>
        </w:rPr>
        <w:t xml:space="preserve">Layer 4 (RVM+CCDR): </w:t>
      </w:r>
      <w:r>
        <w:rPr>
          <w:rFonts w:ascii="Cambria" w:cs="Cambria" w:eastAsia="Cambria" w:hAnsi="Cambria"/>
          <w:sz w:val="21"/>
          <w:szCs w:val="21"/>
        </w:rPr>
        <w:t xml:space="preserve">ν ≠ 10⁻³ → survives with modified ν. χ fails → frameworks independent.</w:t>
      </w:r>
    </w:p>
    <w:p>
      <w:pPr>
        <w:spacing w:after="85" w:line="255"/>
        <w:jc w:val="both"/>
      </w:pPr>
      <w:r>
        <w:rPr>
          <w:rFonts w:ascii="Cambria" w:cs="Cambria" w:eastAsia="Cambria" w:hAnsi="Cambria"/>
          <w:b/>
          <w:bCs/>
          <w:sz w:val="21"/>
          <w:szCs w:val="21"/>
        </w:rPr>
        <w:t xml:space="preserve">Layer 5 (baryogenesis): </w:t>
      </w:r>
      <w:r>
        <w:rPr>
          <w:rFonts w:ascii="Cambria" w:cs="Cambria" w:eastAsia="Cambria" w:hAnsi="Cambria"/>
          <w:sz w:val="21"/>
          <w:szCs w:val="21"/>
        </w:rPr>
        <w:t xml:space="preserve">fail → rest survives.</w:t>
      </w:r>
    </w:p>
    <w:p>
      <w:pPr>
        <w:spacing w:after="85" w:line="255"/>
        <w:jc w:val="both"/>
      </w:pPr>
      <w:r>
        <w:rPr>
          <w:rFonts w:ascii="Cambria" w:cs="Cambria" w:eastAsia="Cambria" w:hAnsi="Cambria"/>
          <w:b/>
          <w:bCs/>
          <w:sz w:val="21"/>
          <w:szCs w:val="21"/>
        </w:rPr>
        <w:t xml:space="preserve">No single failure destroys the programme.</w:t>
      </w:r>
    </w:p>
    <w:p>
      <w:pPr>
        <w:pStyle w:val="Heading1"/>
        <w:spacing w:before="280" w:after="140"/>
      </w:pPr>
      <w:r>
        <w:rPr>
          <w:rFonts w:ascii="Cambria" w:cs="Cambria" w:eastAsia="Cambria" w:hAnsi="Cambria"/>
          <w:b/>
          <w:bCs/>
          <w:sz w:val="25"/>
          <w:szCs w:val="25"/>
        </w:rPr>
        <w:t xml:space="preserve">7. Resolution Paths for Remaining Open Problems</w:t>
      </w:r>
    </w:p>
    <w:p>
      <w:pPr>
        <w:spacing w:after="85" w:line="255"/>
        <w:jc w:val="both"/>
      </w:pPr>
      <w:r>
        <w:rPr>
          <w:rFonts w:ascii="Cambria" w:cs="Cambria" w:eastAsia="Cambria" w:hAnsi="Cambria"/>
          <w:sz w:val="21"/>
          <w:szCs w:val="21"/>
        </w:rPr>
        <w:t xml:space="preserve">Six open problems remain. For each, we identify the specific framework(s) that provide the resolution path, the mathematical computation required, and the estimated timeline. These are not new layers of the synthesis — they are </w:t>
      </w:r>
      <w:r>
        <w:rPr>
          <w:rFonts w:ascii="Cambria" w:cs="Cambria" w:eastAsia="Cambria" w:hAnsi="Cambria"/>
          <w:b/>
          <w:bCs/>
          <w:sz w:val="21"/>
          <w:szCs w:val="21"/>
        </w:rPr>
        <w:t xml:space="preserve">cited resolution paths</w:t>
      </w:r>
      <w:r>
        <w:rPr>
          <w:rFonts w:ascii="Cambria" w:cs="Cambria" w:eastAsia="Cambria" w:hAnsi="Cambria"/>
          <w:sz w:val="21"/>
          <w:szCs w:val="21"/>
        </w:rPr>
        <w:t xml:space="preserve"> that use existing external frameworks to close specific gaps within the 12+3 architecture.</w:t>
      </w:r>
    </w:p>
    <w:p>
      <w:pPr>
        <w:pStyle w:val="Heading2"/>
        <w:spacing w:before="200" w:after="100"/>
      </w:pPr>
      <w:r>
        <w:rPr>
          <w:rFonts w:ascii="Cambria" w:cs="Cambria" w:eastAsia="Cambria" w:hAnsi="Cambria"/>
          <w:b/>
          <w:bCs/>
          <w:i/>
          <w:iCs/>
          <w:sz w:val="22"/>
          <w:szCs w:val="22"/>
        </w:rPr>
        <w:t xml:space="preserve">7.1 Problem: Exact Value of N</w:t>
      </w:r>
    </w:p>
    <w:p>
      <w:pPr>
        <w:spacing w:after="85" w:line="255"/>
        <w:jc w:val="both"/>
      </w:pPr>
      <w:r>
        <w:rPr>
          <w:rFonts w:ascii="Cambria" w:cs="Cambria" w:eastAsia="Cambria" w:hAnsi="Cambria"/>
          <w:b/>
          <w:bCs/>
          <w:sz w:val="21"/>
          <w:szCs w:val="21"/>
        </w:rPr>
        <w:t xml:space="preserve">Current status: </w:t>
      </w:r>
      <w:r>
        <w:rPr>
          <w:rFonts w:ascii="Cambria" w:cs="Cambria" w:eastAsia="Cambria" w:hAnsi="Cambria"/>
          <w:sz w:val="21"/>
          <w:szCs w:val="21"/>
        </w:rPr>
        <w:t xml:space="preserve">N ~ 6 from three independent constraints: DA/O division algebra dimensions (R:1, C:2, H:4, O:8 → 6 independent compact directions), AQN segregation coefficient k_eff ~ 1/6, and HaPPY code dimension. But “~6” is not “=6.”</w:t>
      </w:r>
    </w:p>
    <w:p>
      <w:pPr>
        <w:spacing w:after="85" w:line="255"/>
        <w:jc w:val="both"/>
      </w:pPr>
      <w:r>
        <w:rPr>
          <w:rFonts w:ascii="Cambria" w:cs="Cambria" w:eastAsia="Cambria" w:hAnsi="Cambria"/>
          <w:b/>
          <w:bCs/>
          <w:sz w:val="21"/>
          <w:szCs w:val="21"/>
        </w:rPr>
        <w:t xml:space="preserve">Resolution path: The Swampland Programme (Vafa 2005, Ooguri &amp; Vafa 2007).</w:t>
      </w:r>
    </w:p>
    <w:p>
      <w:pPr>
        <w:spacing w:after="85" w:line="255"/>
        <w:jc w:val="both"/>
      </w:pPr>
      <w:r>
        <w:rPr>
          <w:rFonts w:ascii="Cambria" w:cs="Cambria" w:eastAsia="Cambria" w:hAnsi="Cambria"/>
          <w:sz w:val="21"/>
          <w:szCs w:val="21"/>
        </w:rPr>
        <w:t xml:space="preserve">The Swampland de Sitter conjecture constrains |dρ_vac/dH| / ρ_vac ≥ c_swamp/M_pl. For the RVM equation, this gives a constraint on ν = N_eff/(48π), and hence on N, because N_eff depends on N through the simplex coordination number. Different integer values of N give different ν, and only the value satisfying the Swampland constraint is allowed.</w:t>
      </w:r>
    </w:p>
    <w:p>
      <w:pPr>
        <w:spacing w:after="85" w:line="255"/>
        <w:jc w:val="both"/>
      </w:pPr>
      <w:r>
        <w:rPr>
          <w:rFonts w:ascii="Cambria" w:cs="Cambria" w:eastAsia="Cambria" w:hAnsi="Cambria"/>
          <w:b/>
          <w:bCs/>
          <w:sz w:val="21"/>
          <w:szCs w:val="21"/>
        </w:rPr>
        <w:t xml:space="preserve">Computation required: </w:t>
      </w:r>
      <w:r>
        <w:rPr>
          <w:rFonts w:ascii="Cambria" w:cs="Cambria" w:eastAsia="Cambria" w:hAnsi="Cambria"/>
          <w:sz w:val="21"/>
          <w:szCs w:val="21"/>
        </w:rPr>
        <w:t xml:space="preserve">Evaluate the Swampland distance conjecture on the CDT moduli space for N = 5, 6, 7, 8. Only one value should satisfy all three constraints (Swampland + DA/O + AQN) simultaneously.</w:t>
      </w:r>
    </w:p>
    <w:p>
      <w:pPr>
        <w:spacing w:after="85" w:line="255"/>
        <w:jc w:val="both"/>
      </w:pPr>
      <w:r>
        <w:rPr>
          <w:rFonts w:ascii="Cambria" w:cs="Cambria" w:eastAsia="Cambria" w:hAnsi="Cambria"/>
          <w:b/>
          <w:bCs/>
          <w:sz w:val="21"/>
          <w:szCs w:val="21"/>
        </w:rPr>
        <w:t xml:space="preserve">Expected result: </w:t>
      </w:r>
      <w:r>
        <w:rPr>
          <w:rFonts w:ascii="Cambria" w:cs="Cambria" w:eastAsia="Cambria" w:hAnsi="Cambria"/>
          <w:sz w:val="21"/>
          <w:szCs w:val="21"/>
        </w:rPr>
        <w:t xml:space="preserve">N = 6 uniquely selected.</w:t>
      </w:r>
    </w:p>
    <w:p>
      <w:pPr>
        <w:spacing w:after="85" w:line="255"/>
        <w:jc w:val="both"/>
      </w:pPr>
      <w:r>
        <w:rPr>
          <w:rFonts w:ascii="Cambria" w:cs="Cambria" w:eastAsia="Cambria" w:hAnsi="Cambria"/>
          <w:b/>
          <w:bCs/>
          <w:sz w:val="21"/>
          <w:szCs w:val="21"/>
        </w:rPr>
        <w:t xml:space="preserve">Timeline: </w:t>
      </w:r>
      <w:r>
        <w:rPr>
          <w:rFonts w:ascii="Cambria" w:cs="Cambria" w:eastAsia="Cambria" w:hAnsi="Cambria"/>
          <w:sz w:val="21"/>
          <w:szCs w:val="21"/>
        </w:rPr>
        <w:t xml:space="preserve">1–2 years. The Swampland constraint is a straightforward calculation once the CDT moduli space is characterised.</w:t>
      </w:r>
    </w:p>
    <w:p>
      <w:pPr>
        <w:pStyle w:val="Heading2"/>
        <w:spacing w:before="200" w:after="100"/>
      </w:pPr>
      <w:r>
        <w:rPr>
          <w:rFonts w:ascii="Cambria" w:cs="Cambria" w:eastAsia="Cambria" w:hAnsi="Cambria"/>
          <w:b/>
          <w:bCs/>
          <w:i/>
          <w:iCs/>
          <w:sz w:val="22"/>
          <w:szCs w:val="22"/>
        </w:rPr>
        <w:t xml:space="preserve">7.2 Problem: Neutrino Mass Hierarchy</w:t>
      </w:r>
    </w:p>
    <w:p>
      <w:pPr>
        <w:spacing w:after="85" w:line="255"/>
        <w:jc w:val="both"/>
      </w:pPr>
      <w:r>
        <w:rPr>
          <w:rFonts w:ascii="Cambria" w:cs="Cambria" w:eastAsia="Cambria" w:hAnsi="Cambria"/>
          <w:b/>
          <w:bCs/>
          <w:sz w:val="21"/>
          <w:szCs w:val="21"/>
        </w:rPr>
        <w:t xml:space="preserve">Current status: </w:t>
      </w:r>
      <w:r>
        <w:rPr>
          <w:rFonts w:ascii="Cambria" w:cs="Cambria" w:eastAsia="Cambria" w:hAnsi="Cambria"/>
          <w:sz w:val="21"/>
          <w:szCs w:val="21"/>
        </w:rPr>
        <w:t xml:space="preserve">The synthesis predicts three generations from the hexagonal BZ but does not determine whether the neutrino hierarchy is normal (m₁ &lt; m₂ &lt; m₃) or inverted (m₃ &lt; m₁ &lt; m₂).</w:t>
      </w:r>
    </w:p>
    <w:p>
      <w:pPr>
        <w:spacing w:after="85" w:line="255"/>
        <w:jc w:val="both"/>
      </w:pPr>
      <w:r>
        <w:rPr>
          <w:rFonts w:ascii="Cambria" w:cs="Cambria" w:eastAsia="Cambria" w:hAnsi="Cambria"/>
          <w:b/>
          <w:bCs/>
          <w:sz w:val="21"/>
          <w:szCs w:val="21"/>
        </w:rPr>
        <w:t xml:space="preserve">Resolution path: Discrete Flavour Symmetries as C₆ᵥ Subgroups (Ma &amp; Rajasekaran 2001, Altarelli &amp; Feruglio 2005).</w:t>
      </w:r>
    </w:p>
    <w:p>
      <w:pPr>
        <w:spacing w:after="85" w:line="255"/>
        <w:jc w:val="both"/>
      </w:pPr>
      <w:r>
        <w:rPr>
          <w:rFonts w:ascii="Cambria" w:cs="Cambria" w:eastAsia="Cambria" w:hAnsi="Cambria"/>
          <w:sz w:val="21"/>
          <w:szCs w:val="21"/>
        </w:rPr>
        <w:t xml:space="preserve">The hexagonal BZ has C₃ symmetry (120° rotation) relating the three generation directions. If the neutrino mass matrix respects C₃ (tribimaximal mixing), the hierarchy is normal. If C₃ is broken to C₂ (one direction singled out), the hierarchy can be inverted. The pattern of C₃ breaking is determined by the CDT lattice anisotropy at the weak scale.</w:t>
      </w:r>
    </w:p>
    <w:p>
      <w:pPr>
        <w:spacing w:after="85" w:line="255"/>
        <w:jc w:val="both"/>
      </w:pPr>
      <w:r>
        <w:rPr>
          <w:rFonts w:ascii="Cambria" w:cs="Cambria" w:eastAsia="Cambria" w:hAnsi="Cambria"/>
          <w:b/>
          <w:bCs/>
          <w:sz w:val="21"/>
          <w:szCs w:val="21"/>
        </w:rPr>
        <w:t xml:space="preserve">Additional path: SSM see-saw constraints (Chamseddine, Connes &amp; van Suijlekom 2013).</w:t>
      </w:r>
      <w:r>
        <w:rPr>
          <w:rFonts w:ascii="Cambria" w:cs="Cambria" w:eastAsia="Cambria" w:hAnsi="Cambria"/>
          <w:sz w:val="21"/>
          <w:szCs w:val="21"/>
        </w:rPr>
        <w:t xml:space="preserve"> The spectral action constrains the Dirac–Majorana mass matrix. The Majorana mass M_R is the crystal boundary energy scale. The hierarchy depends on whether M_R is direction-independent (normal) or direction-dependent (inverted).</w:t>
      </w:r>
    </w:p>
    <w:p>
      <w:pPr>
        <w:spacing w:after="85" w:line="255"/>
        <w:jc w:val="both"/>
      </w:pPr>
      <w:r>
        <w:rPr>
          <w:rFonts w:ascii="Cambria" w:cs="Cambria" w:eastAsia="Cambria" w:hAnsi="Cambria"/>
          <w:b/>
          <w:bCs/>
          <w:sz w:val="21"/>
          <w:szCs w:val="21"/>
        </w:rPr>
        <w:t xml:space="preserve">Computation required: </w:t>
      </w:r>
      <w:r>
        <w:rPr>
          <w:rFonts w:ascii="Cambria" w:cs="Cambria" w:eastAsia="Cambria" w:hAnsi="Cambria"/>
          <w:sz w:val="21"/>
          <w:szCs w:val="21"/>
        </w:rPr>
        <w:t xml:space="preserve">Evaluate the spectral action’s see-saw sector on CDT C-phase with hexagonal BZ. Determine C₃ breaking pattern from CDT lattice anisotropy.</w:t>
      </w:r>
    </w:p>
    <w:p>
      <w:pPr>
        <w:spacing w:after="85" w:line="255"/>
        <w:jc w:val="both"/>
      </w:pPr>
      <w:r>
        <w:rPr>
          <w:rFonts w:ascii="Cambria" w:cs="Cambria" w:eastAsia="Cambria" w:hAnsi="Cambria"/>
          <w:b/>
          <w:bCs/>
          <w:sz w:val="21"/>
          <w:szCs w:val="21"/>
        </w:rPr>
        <w:t xml:space="preserve">Timeline: </w:t>
      </w:r>
      <w:r>
        <w:rPr>
          <w:rFonts w:ascii="Cambria" w:cs="Cambria" w:eastAsia="Cambria" w:hAnsi="Cambria"/>
          <w:sz w:val="21"/>
          <w:szCs w:val="21"/>
        </w:rPr>
        <w:t xml:space="preserve">2–5 years. Requires CDT Dirac operator construction.</w:t>
      </w:r>
    </w:p>
    <w:p>
      <w:pPr>
        <w:pStyle w:val="Heading2"/>
        <w:spacing w:before="200" w:after="100"/>
      </w:pPr>
      <w:r>
        <w:rPr>
          <w:rFonts w:ascii="Cambria" w:cs="Cambria" w:eastAsia="Cambria" w:hAnsi="Cambria"/>
          <w:b/>
          <w:bCs/>
          <w:i/>
          <w:iCs/>
          <w:sz w:val="22"/>
          <w:szCs w:val="22"/>
        </w:rPr>
        <w:t xml:space="preserve">7.3 Problem: C₀ from First Principles</w:t>
      </w:r>
    </w:p>
    <w:p>
      <w:pPr>
        <w:spacing w:after="85" w:line="255"/>
        <w:jc w:val="both"/>
      </w:pPr>
      <w:r>
        <w:rPr>
          <w:rFonts w:ascii="Cambria" w:cs="Cambria" w:eastAsia="Cambria" w:hAnsi="Cambria"/>
          <w:b/>
          <w:bCs/>
          <w:sz w:val="21"/>
          <w:szCs w:val="21"/>
        </w:rPr>
        <w:t xml:space="preserve">Current status: </w:t>
      </w:r>
      <w:r>
        <w:rPr>
          <w:rFonts w:ascii="Cambria" w:cs="Cambria" w:eastAsia="Cambria" w:hAnsi="Cambria"/>
          <w:sz w:val="21"/>
          <w:szCs w:val="21"/>
        </w:rPr>
        <w:t xml:space="preserve">C₀ is the zero-point energy of the cosmological time crystal. Parameterised by RVM. CST’s Λ ~ 1/√N gives the right order of magnitude. Not a precision calculation.</w:t>
      </w:r>
    </w:p>
    <w:p>
      <w:pPr>
        <w:spacing w:after="85" w:line="255"/>
        <w:jc w:val="both"/>
      </w:pPr>
      <w:r>
        <w:rPr>
          <w:rFonts w:ascii="Cambria" w:cs="Cambria" w:eastAsia="Cambria" w:hAnsi="Cambria"/>
          <w:b/>
          <w:bCs/>
          <w:sz w:val="21"/>
          <w:szCs w:val="21"/>
        </w:rPr>
        <w:t xml:space="preserve">Resolution path 1: CST Sorkin Counting (Sorkin 1991, Ahmed et al. 2004).</w:t>
      </w:r>
    </w:p>
    <w:p>
      <w:pPr>
        <w:spacing w:after="85" w:line="255"/>
        <w:jc w:val="both"/>
      </w:pPr>
      <w:r>
        <w:rPr>
          <w:rFonts w:ascii="Cambria" w:cs="Cambria" w:eastAsia="Cambria" w:hAnsi="Cambria"/>
          <w:sz w:val="21"/>
          <w:szCs w:val="21"/>
        </w:rPr>
        <w:t xml:space="preserve">For N ~ 10¹²² causal set elements, Λ ~ 10⁻¹²² M⁴_pl. To sharpen: combine with CDT crystal structure. The crystal correction factor depends on the lattice geometry.</w:t>
      </w:r>
    </w:p>
    <w:p>
      <w:pPr>
        <w:spacing w:after="85" w:line="255"/>
        <w:jc w:val="both"/>
      </w:pPr>
      <w:r>
        <w:rPr>
          <w:rFonts w:ascii="Cambria" w:cs="Cambria" w:eastAsia="Cambria" w:hAnsi="Cambria"/>
          <w:b/>
          <w:bCs/>
          <w:sz w:val="21"/>
          <w:szCs w:val="21"/>
        </w:rPr>
        <w:t xml:space="preserve">Resolution path 2: Unimodular Gravity (Einstein 1919, Smolin 2009).</w:t>
      </w:r>
    </w:p>
    <w:p>
      <w:pPr>
        <w:spacing w:after="85" w:line="255"/>
        <w:jc w:val="both"/>
      </w:pPr>
      <w:r>
        <w:rPr>
          <w:rFonts w:ascii="Cambria" w:cs="Cambria" w:eastAsia="Cambria" w:hAnsi="Cambria"/>
          <w:sz w:val="21"/>
          <w:szCs w:val="21"/>
        </w:rPr>
        <w:t xml:space="preserve">C₀ is a conserved integration constant (initial condition of nucleation), not a coupling constant. Its value is set by the N-dimensional bulk geometry at the Big Bang.</w:t>
      </w:r>
    </w:p>
    <w:p>
      <w:pPr>
        <w:spacing w:after="85" w:line="255"/>
        <w:jc w:val="both"/>
      </w:pPr>
      <w:r>
        <w:rPr>
          <w:rFonts w:ascii="Cambria" w:cs="Cambria" w:eastAsia="Cambria" w:hAnsi="Cambria"/>
          <w:b/>
          <w:bCs/>
          <w:sz w:val="21"/>
          <w:szCs w:val="21"/>
        </w:rPr>
        <w:t xml:space="preserve">Resolution path 3: Hartle–Hawking No-Boundary on CDT (Hartle &amp; Hawking 1983).</w:t>
      </w:r>
    </w:p>
    <w:p>
      <w:pPr>
        <w:spacing w:after="85" w:line="255"/>
        <w:jc w:val="both"/>
      </w:pPr>
      <w:r>
        <w:rPr>
          <w:rFonts w:ascii="Cambria" w:cs="Cambria" w:eastAsia="Cambria" w:hAnsi="Cambria"/>
          <w:sz w:val="21"/>
          <w:szCs w:val="21"/>
        </w:rPr>
        <w:t xml:space="preserve">The CDT path integral with no-boundary initial conditions selects a saddle-point geometry whose action determines C₀. The CDT version differs from the original HH calculation because nucleation is from the N-dimensional bulk, not from nothing.</w:t>
      </w:r>
    </w:p>
    <w:p>
      <w:pPr>
        <w:spacing w:after="85" w:line="255"/>
        <w:jc w:val="both"/>
      </w:pPr>
      <w:r>
        <w:rPr>
          <w:rFonts w:ascii="Cambria" w:cs="Cambria" w:eastAsia="Cambria" w:hAnsi="Cambria"/>
          <w:b/>
          <w:bCs/>
          <w:sz w:val="21"/>
          <w:szCs w:val="21"/>
        </w:rPr>
        <w:t xml:space="preserve">Computation required: </w:t>
      </w:r>
      <w:r>
        <w:rPr>
          <w:rFonts w:ascii="Cambria" w:cs="Cambria" w:eastAsia="Cambria" w:hAnsi="Cambria"/>
          <w:sz w:val="21"/>
          <w:szCs w:val="21"/>
        </w:rPr>
        <w:t xml:space="preserve">CDT simulation with Hartle–Hawking boundary conditions. Measure saddle-point cosmological constant. Combine with Sorkin’s 1/√N correction.</w:t>
      </w:r>
    </w:p>
    <w:p>
      <w:pPr>
        <w:spacing w:after="85" w:line="255"/>
        <w:jc w:val="both"/>
      </w:pPr>
      <w:r>
        <w:rPr>
          <w:rFonts w:ascii="Cambria" w:cs="Cambria" w:eastAsia="Cambria" w:hAnsi="Cambria"/>
          <w:b/>
          <w:bCs/>
          <w:sz w:val="21"/>
          <w:szCs w:val="21"/>
        </w:rPr>
        <w:t xml:space="preserve">Timeline: </w:t>
      </w:r>
      <w:r>
        <w:rPr>
          <w:rFonts w:ascii="Cambria" w:cs="Cambria" w:eastAsia="Cambria" w:hAnsi="Cambria"/>
          <w:sz w:val="21"/>
          <w:szCs w:val="21"/>
        </w:rPr>
        <w:t xml:space="preserve">3–5 years. Well-defined CDT simulation project.</w:t>
      </w:r>
    </w:p>
    <w:p>
      <w:pPr>
        <w:pStyle w:val="Heading2"/>
        <w:spacing w:before="200" w:after="100"/>
      </w:pPr>
      <w:r>
        <w:rPr>
          <w:rFonts w:ascii="Cambria" w:cs="Cambria" w:eastAsia="Cambria" w:hAnsi="Cambria"/>
          <w:b/>
          <w:bCs/>
          <w:i/>
          <w:iCs/>
          <w:sz w:val="22"/>
          <w:szCs w:val="22"/>
        </w:rPr>
        <w:t xml:space="preserve">7.4 Problem: Strong CP (θ = 0)</w:t>
      </w:r>
    </w:p>
    <w:p>
      <w:pPr>
        <w:spacing w:after="85" w:line="255"/>
        <w:jc w:val="both"/>
      </w:pPr>
      <w:r>
        <w:rPr>
          <w:rFonts w:ascii="Cambria" w:cs="Cambria" w:eastAsia="Cambria" w:hAnsi="Cambria"/>
          <w:b/>
          <w:bCs/>
          <w:sz w:val="21"/>
          <w:szCs w:val="21"/>
        </w:rPr>
        <w:t xml:space="preserve">Current status: </w:t>
      </w:r>
      <w:r>
        <w:rPr>
          <w:rFonts w:ascii="Cambria" w:cs="Cambria" w:eastAsia="Cambria" w:hAnsi="Cambria"/>
          <w:sz w:val="21"/>
          <w:szCs w:val="21"/>
        </w:rPr>
        <w:t xml:space="preserve">The spectral action Tr(f(D/Λ)) is automatically real (D self-adjoint, f real), giving θ_tree = 0. Radiative corrections could regenerate θ ≠ 0.</w:t>
      </w:r>
    </w:p>
    <w:p>
      <w:pPr>
        <w:spacing w:after="85" w:line="255"/>
        <w:jc w:val="both"/>
      </w:pPr>
      <w:r>
        <w:rPr>
          <w:rFonts w:ascii="Cambria" w:cs="Cambria" w:eastAsia="Cambria" w:hAnsi="Cambria"/>
          <w:b/>
          <w:bCs/>
          <w:sz w:val="21"/>
          <w:szCs w:val="21"/>
        </w:rPr>
        <w:t xml:space="preserve">Resolution path: Algebraic Renormalisation with the Overlap Dirac Operator (Piguet &amp; Sorella 1995; Neuberger 1998).</w:t>
      </w:r>
    </w:p>
    <w:p>
      <w:pPr>
        <w:spacing w:after="85" w:line="255"/>
        <w:jc w:val="both"/>
      </w:pPr>
      <w:r>
        <w:rPr>
          <w:rFonts w:ascii="Cambria" w:cs="Cambria" w:eastAsia="Cambria" w:hAnsi="Cambria"/>
          <w:sz w:val="21"/>
          <w:szCs w:val="21"/>
        </w:rPr>
        <w:t xml:space="preserve">The overlap Dirac operator on the lattice has exact chiral symmetry (Ginsparg–Wilson relation). If the Slavnov–Taylor identity corresponding to the spectral action’s reality is anomaly-free with the overlap operator on CDT, then θ = 0 is protected to all loop orders.</w:t>
      </w:r>
    </w:p>
    <w:p>
      <w:pPr>
        <w:spacing w:after="85" w:line="255"/>
        <w:jc w:val="both"/>
      </w:pPr>
      <w:r>
        <w:rPr>
          <w:rFonts w:ascii="Cambria" w:cs="Cambria" w:eastAsia="Cambria" w:hAnsi="Cambria"/>
          <w:b/>
          <w:bCs/>
          <w:sz w:val="21"/>
          <w:szCs w:val="21"/>
        </w:rPr>
        <w:t xml:space="preserve">Why this works in CCDR: </w:t>
      </w:r>
      <w:r>
        <w:rPr>
          <w:rFonts w:ascii="Cambria" w:cs="Cambria" w:eastAsia="Cambria" w:hAnsi="Cambria"/>
          <w:sz w:val="21"/>
          <w:szCs w:val="21"/>
        </w:rPr>
        <w:t xml:space="preserve">The CDT lattice with overlap fermions has a mathematically exact chiral symmetry. The spectral action’s reality plus exact lattice chiral symmetry = θ protected to all orders. This is stronger than the standard axion solution because it doesn’t require a new particle — though the axion exists independently in the synthesis (required for AQN).</w:t>
      </w:r>
    </w:p>
    <w:p>
      <w:pPr>
        <w:spacing w:after="85" w:line="255"/>
        <w:jc w:val="both"/>
      </w:pPr>
      <w:r>
        <w:rPr>
          <w:rFonts w:ascii="Cambria" w:cs="Cambria" w:eastAsia="Cambria" w:hAnsi="Cambria"/>
          <w:b/>
          <w:bCs/>
          <w:sz w:val="21"/>
          <w:szCs w:val="21"/>
        </w:rPr>
        <w:t xml:space="preserve">Computation required: </w:t>
      </w:r>
      <w:r>
        <w:rPr>
          <w:rFonts w:ascii="Cambria" w:cs="Cambria" w:eastAsia="Cambria" w:hAnsi="Cambria"/>
          <w:sz w:val="21"/>
          <w:szCs w:val="21"/>
        </w:rPr>
        <w:t xml:space="preserve">Construct the overlap Dirac operator on a CDT C-phase triangulation. Verify the Ginsparg–Wilson relation. Compute one-loop θ correction and verify it vanishes.</w:t>
      </w:r>
    </w:p>
    <w:p>
      <w:pPr>
        <w:spacing w:after="85" w:line="255"/>
        <w:jc w:val="both"/>
      </w:pPr>
      <w:r>
        <w:rPr>
          <w:rFonts w:ascii="Cambria" w:cs="Cambria" w:eastAsia="Cambria" w:hAnsi="Cambria"/>
          <w:b/>
          <w:bCs/>
          <w:sz w:val="21"/>
          <w:szCs w:val="21"/>
        </w:rPr>
        <w:t xml:space="preserve">Timeline: </w:t>
      </w:r>
      <w:r>
        <w:rPr>
          <w:rFonts w:ascii="Cambria" w:cs="Cambria" w:eastAsia="Cambria" w:hAnsi="Cambria"/>
          <w:sz w:val="21"/>
          <w:szCs w:val="21"/>
        </w:rPr>
        <w:t xml:space="preserve">3–7 years. Requires lattice QCD expertise adapted to simplicial geometry.</w:t>
      </w:r>
    </w:p>
    <w:p>
      <w:pPr>
        <w:pStyle w:val="Heading2"/>
        <w:spacing w:before="200" w:after="100"/>
      </w:pPr>
      <w:r>
        <w:rPr>
          <w:rFonts w:ascii="Cambria" w:cs="Cambria" w:eastAsia="Cambria" w:hAnsi="Cambria"/>
          <w:b/>
          <w:bCs/>
          <w:i/>
          <w:iCs/>
          <w:sz w:val="22"/>
          <w:szCs w:val="22"/>
        </w:rPr>
        <w:t xml:space="preserve">7.5 Problem: Quantum Measurement</w:t>
      </w:r>
    </w:p>
    <w:p>
      <w:pPr>
        <w:spacing w:after="85" w:line="255"/>
        <w:jc w:val="both"/>
      </w:pPr>
      <w:r>
        <w:rPr>
          <w:rFonts w:ascii="Cambria" w:cs="Cambria" w:eastAsia="Cambria" w:hAnsi="Cambria"/>
          <w:b/>
          <w:bCs/>
          <w:sz w:val="21"/>
          <w:szCs w:val="21"/>
        </w:rPr>
        <w:t xml:space="preserve">Current status: </w:t>
      </w:r>
      <w:r>
        <w:rPr>
          <w:rFonts w:ascii="Cambria" w:cs="Cambria" w:eastAsia="Cambria" w:hAnsi="Cambria"/>
          <w:sz w:val="21"/>
          <w:szCs w:val="21"/>
        </w:rPr>
        <w:t xml:space="preserve">CCDR’s Born rule derivation (|ψ|² from N-dimensional projection) is interpretive. It explains the form of the rule but doesn’t resolve why definite outcomes occur.</w:t>
      </w:r>
    </w:p>
    <w:p>
      <w:pPr>
        <w:spacing w:after="85" w:line="255"/>
        <w:jc w:val="both"/>
      </w:pPr>
      <w:r>
        <w:rPr>
          <w:rFonts w:ascii="Cambria" w:cs="Cambria" w:eastAsia="Cambria" w:hAnsi="Cambria"/>
          <w:b/>
          <w:bCs/>
          <w:sz w:val="21"/>
          <w:szCs w:val="21"/>
        </w:rPr>
        <w:t xml:space="preserve">Resolution path: Diósi–Penrose Gravitational Collapse (Diósi 1987, Penrose 1996), reinterpreted as crystal-state collapse.</w:t>
      </w:r>
    </w:p>
    <w:p>
      <w:pPr>
        <w:spacing w:after="85" w:line="255"/>
        <w:jc w:val="both"/>
      </w:pPr>
      <w:r>
        <w:rPr>
          <w:rFonts w:ascii="Cambria" w:cs="Cambria" w:eastAsia="Cambria" w:hAnsi="Cambria"/>
          <w:sz w:val="21"/>
          <w:szCs w:val="21"/>
        </w:rPr>
        <w:t xml:space="preserve">Penrose proposed collapse when the gravitational self-energy of the superposition exceeds ħ/τ. In CDT–CCDR, this has a crystal interpretation: when a quantum superposition involves two distinguishable crystal configurations (two different simplicial geometries), the crystal lattice cannot maintain both. The state crystallises into one configuration.</w:t>
      </w:r>
    </w:p>
    <w:p>
      <w:pPr>
        <w:spacing w:before="110" w:after="110"/>
        <w:ind w:left="440"/>
      </w:pPr>
      <w:r>
        <w:rPr>
          <w:rFonts w:ascii="Cambria Math" w:cs="Cambria Math" w:eastAsia="Cambria Math" w:hAnsi="Cambria Math"/>
          <w:i/>
          <w:iCs/>
          <w:sz w:val="21"/>
          <w:szCs w:val="21"/>
        </w:rPr>
        <w:t xml:space="preserve">τ_collapse ~ ħ/(GΔM²/R) where ΔM, R characterise the superposition</w:t>
      </w:r>
      <w:r>
        <w:rPr>
          <w:rFonts w:ascii="Cambria" w:cs="Cambria" w:eastAsia="Cambria" w:hAnsi="Cambria"/>
          <w:sz w:val="21"/>
          <w:szCs w:val="21"/>
        </w:rPr>
        <w:t xml:space="preserve">    (6)</w:t>
      </w:r>
    </w:p>
    <w:p>
      <w:pPr>
        <w:spacing w:after="85" w:line="255"/>
        <w:jc w:val="both"/>
      </w:pPr>
      <w:r>
        <w:rPr>
          <w:rFonts w:ascii="Cambria" w:cs="Cambria" w:eastAsia="Cambria" w:hAnsi="Cambria"/>
          <w:sz w:val="21"/>
          <w:szCs w:val="21"/>
        </w:rPr>
        <w:t xml:space="preserve">The collapse time is calculable from CDT: it depends on the gravitational energy difference between the two superposed geometries. For a macroscopic object (ΔM ~ 10⁻¹⁴ kg, R ~ 10⁻⁶ m), τ ~ 10⁻³ s — effectively instantaneous. For a single atom, τ ~ 10²⁵ s — effectively never.</w:t>
      </w:r>
    </w:p>
    <w:p>
      <w:pPr>
        <w:spacing w:after="85" w:line="255"/>
        <w:jc w:val="both"/>
      </w:pPr>
      <w:r>
        <w:rPr>
          <w:rFonts w:ascii="Cambria" w:cs="Cambria" w:eastAsia="Cambria" w:hAnsi="Cambria"/>
          <w:b/>
          <w:bCs/>
          <w:sz w:val="21"/>
          <w:szCs w:val="21"/>
        </w:rPr>
        <w:t xml:space="preserve">CCDR-specific insight: </w:t>
      </w:r>
      <w:r>
        <w:rPr>
          <w:rFonts w:ascii="Cambria" w:cs="Cambria" w:eastAsia="Cambria" w:hAnsi="Cambria"/>
          <w:sz w:val="21"/>
          <w:szCs w:val="21"/>
        </w:rPr>
        <w:t xml:space="preserve">the collapse is a </w:t>
      </w:r>
      <w:r>
        <w:rPr>
          <w:rFonts w:ascii="Cambria" w:cs="Cambria" w:eastAsia="Cambria" w:hAnsi="Cambria"/>
          <w:i/>
          <w:iCs/>
          <w:sz w:val="21"/>
          <w:szCs w:val="21"/>
        </w:rPr>
        <w:t xml:space="preserve">micro-crystallisation event</w:t>
      </w:r>
      <w:r>
        <w:rPr>
          <w:rFonts w:ascii="Cambria" w:cs="Cambria" w:eastAsia="Cambria" w:hAnsi="Cambria"/>
          <w:sz w:val="21"/>
          <w:szCs w:val="21"/>
        </w:rPr>
        <w:t xml:space="preserve">. Just as the Big Bang was the macro-crystallisation of spacetime, each quantum measurement is a micro-crystallisation: the superposed state “freezes” into a definite crystal configuration when χ → 1 for the system’s gravitational sector.</w:t>
      </w:r>
    </w:p>
    <w:p>
      <w:pPr>
        <w:spacing w:after="85" w:line="255"/>
        <w:jc w:val="both"/>
      </w:pPr>
      <w:r>
        <w:rPr>
          <w:rFonts w:ascii="Cambria" w:cs="Cambria" w:eastAsia="Cambria" w:hAnsi="Cambria"/>
          <w:b/>
          <w:bCs/>
          <w:sz w:val="21"/>
          <w:szCs w:val="21"/>
        </w:rPr>
        <w:t xml:space="preserve">Testable prediction: </w:t>
      </w:r>
      <w:r>
        <w:rPr>
          <w:rFonts w:ascii="Cambria" w:cs="Cambria" w:eastAsia="Cambria" w:hAnsi="Cambria"/>
          <w:sz w:val="21"/>
          <w:szCs w:val="21"/>
        </w:rPr>
        <w:t xml:space="preserve">massive superposition experiments (Arndt group, Vienna; Bouwmeester group, UCSB) should observe gravitationally-induced decoherence at the Diósi–Penrose mass scale. Current experiments are within 1–2 orders of magnitude of the predicted threshold.</w:t>
      </w:r>
    </w:p>
    <w:p>
      <w:pPr>
        <w:spacing w:after="85" w:line="255"/>
        <w:jc w:val="both"/>
      </w:pPr>
      <w:r>
        <w:rPr>
          <w:rFonts w:ascii="Cambria" w:cs="Cambria" w:eastAsia="Cambria" w:hAnsi="Cambria"/>
          <w:b/>
          <w:bCs/>
          <w:sz w:val="21"/>
          <w:szCs w:val="21"/>
        </w:rPr>
        <w:t xml:space="preserve">Timeline: </w:t>
      </w:r>
      <w:r>
        <w:rPr>
          <w:rFonts w:ascii="Cambria" w:cs="Cambria" w:eastAsia="Cambria" w:hAnsi="Cambria"/>
          <w:sz w:val="21"/>
          <w:szCs w:val="21"/>
        </w:rPr>
        <w:t xml:space="preserve">1–3 years (conceptual development), 5–10 years (experimental verification).</w:t>
      </w:r>
    </w:p>
    <w:p>
      <w:pPr>
        <w:pStyle w:val="Heading2"/>
        <w:spacing w:before="200" w:after="100"/>
      </w:pPr>
      <w:r>
        <w:rPr>
          <w:rFonts w:ascii="Cambria" w:cs="Cambria" w:eastAsia="Cambria" w:hAnsi="Cambria"/>
          <w:b/>
          <w:bCs/>
          <w:i/>
          <w:iCs/>
          <w:sz w:val="22"/>
          <w:szCs w:val="22"/>
        </w:rPr>
        <w:t xml:space="preserve">7.6 Problem: Full TGFT-RG for EPRL-Weighted GFT</w:t>
      </w:r>
    </w:p>
    <w:p>
      <w:pPr>
        <w:spacing w:after="85" w:line="255"/>
        <w:jc w:val="both"/>
      </w:pPr>
      <w:r>
        <w:rPr>
          <w:rFonts w:ascii="Cambria" w:cs="Cambria" w:eastAsia="Cambria" w:hAnsi="Cambria"/>
          <w:b/>
          <w:bCs/>
          <w:sz w:val="21"/>
          <w:szCs w:val="21"/>
        </w:rPr>
        <w:t xml:space="preserve">Current status: </w:t>
      </w:r>
      <w:r>
        <w:rPr>
          <w:rFonts w:ascii="Cambria" w:cs="Cambria" w:eastAsia="Cambria" w:hAnsi="Cambria"/>
          <w:sz w:val="21"/>
          <w:szCs w:val="21"/>
        </w:rPr>
        <w:t xml:space="preserve">The tensorial GFT RG exists for coloured tensor models (Ben Geloun &amp; Rivasseau) and abstract GFT models (Carrozza). The EPRL vertex amplitude includes the Barbero–Immirzi parameter γ and simplicity constraints not present in these models.</w:t>
      </w:r>
    </w:p>
    <w:p>
      <w:pPr>
        <w:spacing w:after="85" w:line="255"/>
        <w:jc w:val="both"/>
      </w:pPr>
      <w:r>
        <w:rPr>
          <w:rFonts w:ascii="Cambria" w:cs="Cambria" w:eastAsia="Cambria" w:hAnsi="Cambria"/>
          <w:b/>
          <w:bCs/>
          <w:sz w:val="21"/>
          <w:szCs w:val="21"/>
        </w:rPr>
        <w:t xml:space="preserve">Resolution path: Bahr–Steinhaus Spin Foam RG (Bahr &amp; Steinhaus 2016, Dona &amp; Sarno 2018).</w:t>
      </w:r>
    </w:p>
    <w:p>
      <w:pPr>
        <w:spacing w:after="85" w:line="255"/>
        <w:jc w:val="both"/>
      </w:pPr>
      <w:r>
        <w:rPr>
          <w:rFonts w:ascii="Cambria" w:cs="Cambria" w:eastAsia="Cambria" w:hAnsi="Cambria"/>
          <w:sz w:val="21"/>
          <w:szCs w:val="21"/>
        </w:rPr>
        <w:t xml:space="preserve">Bahr and Steinhaus developed a coarse-graining (RG) framework specifically for spin foam models including EPRL. Their approach works in the spin foam formulation, while the tensorial RG works in the GFT formulation. Since GFT Feynman diagrams ARE spin foam histories, the two RG flows should agree. The Bahr–Steinhaus framework provides the bridge from abstract tensorial RG to EPRL-specific RG.</w:t>
      </w:r>
    </w:p>
    <w:p>
      <w:pPr>
        <w:spacing w:after="85" w:line="255"/>
        <w:jc w:val="both"/>
      </w:pPr>
      <w:r>
        <w:rPr>
          <w:rFonts w:ascii="Cambria" w:cs="Cambria" w:eastAsia="Cambria" w:hAnsi="Cambria"/>
          <w:b/>
          <w:bCs/>
          <w:sz w:val="21"/>
          <w:szCs w:val="21"/>
        </w:rPr>
        <w:t xml:space="preserve">Computational programme:</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Step 1: </w:t>
      </w:r>
      <w:r>
        <w:rPr>
          <w:rFonts w:ascii="Cambria" w:cs="Cambria" w:eastAsia="Cambria" w:hAnsi="Cambria"/>
          <w:sz w:val="21"/>
          <w:szCs w:val="21"/>
        </w:rPr>
        <w:t xml:space="preserve">Implement Bahr–Steinhaus coarse-graining for EPRL using sl2cfoam-next code (existing, open-source).</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Step 2: </w:t>
      </w:r>
      <w:r>
        <w:rPr>
          <w:rFonts w:ascii="Cambria" w:cs="Cambria" w:eastAsia="Cambria" w:hAnsi="Cambria"/>
          <w:sz w:val="21"/>
          <w:szCs w:val="21"/>
        </w:rPr>
        <w:t xml:space="preserve">Extract beta functions for GFT couplings (m_GFT, λ_GFT, γ) from the coarse-graining.</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Step 3: </w:t>
      </w:r>
      <w:r>
        <w:rPr>
          <w:rFonts w:ascii="Cambria" w:cs="Cambria" w:eastAsia="Cambria" w:hAnsi="Cambria"/>
          <w:sz w:val="21"/>
          <w:szCs w:val="21"/>
        </w:rPr>
        <w:t xml:space="preserve">Identify IR fixed point. Fixed-point values give ν = (λ*/m*²) × (geometric factor) and converged γ*.</w:t>
      </w:r>
    </w:p>
    <w:p>
      <w:pPr>
        <w:spacing w:after="50" w:line="248"/>
        <w:ind w:left="340" w:hanging="170"/>
      </w:pPr>
      <w:r>
        <w:rPr>
          <w:rFonts w:ascii="Cambria" w:cs="Cambria" w:eastAsia="Cambria" w:hAnsi="Cambria"/>
          <w:sz w:val="21"/>
          <w:szCs w:val="21"/>
        </w:rPr>
        <w:t xml:space="preserve">• </w:t>
      </w:r>
      <w:r>
        <w:rPr>
          <w:rFonts w:ascii="Cambria" w:cs="Cambria" w:eastAsia="Cambria" w:hAnsi="Cambria"/>
          <w:b/>
          <w:bCs/>
          <w:sz w:val="21"/>
          <w:szCs w:val="21"/>
        </w:rPr>
        <w:t xml:space="preserve">Step 4: </w:t>
      </w:r>
      <w:r>
        <w:rPr>
          <w:rFonts w:ascii="Cambria" w:cs="Cambria" w:eastAsia="Cambria" w:hAnsi="Cambria"/>
          <w:sz w:val="21"/>
          <w:szCs w:val="21"/>
        </w:rPr>
        <w:t xml:space="preserve">Verify IR fixed point corresponds to CDT C-phase (check saddle-point geometry matches CDT volume profile).</w:t>
      </w:r>
    </w:p>
    <w:p>
      <w:pPr>
        <w:spacing w:after="85" w:line="255"/>
        <w:jc w:val="both"/>
      </w:pPr>
      <w:r>
        <w:rPr>
          <w:rFonts w:ascii="Cambria" w:cs="Cambria" w:eastAsia="Cambria" w:hAnsi="Cambria"/>
          <w:b/>
          <w:bCs/>
          <w:sz w:val="21"/>
          <w:szCs w:val="21"/>
        </w:rPr>
        <w:t xml:space="preserve">Timeline: </w:t>
      </w:r>
      <w:r>
        <w:rPr>
          <w:rFonts w:ascii="Cambria" w:cs="Cambria" w:eastAsia="Cambria" w:hAnsi="Cambria"/>
          <w:sz w:val="21"/>
          <w:szCs w:val="21"/>
        </w:rPr>
        <w:t xml:space="preserve">2–3 years. All tools exist. Needs assembly by a researcher with GFT + spin foam + numerical expertise.</w:t>
      </w:r>
    </w:p>
    <w:p>
      <w:pPr>
        <w:pStyle w:val="Heading1"/>
        <w:spacing w:before="280" w:after="140"/>
      </w:pPr>
      <w:r>
        <w:rPr>
          <w:rFonts w:ascii="Cambria" w:cs="Cambria" w:eastAsia="Cambria" w:hAnsi="Cambria"/>
          <w:b/>
          <w:bCs/>
          <w:sz w:val="25"/>
          <w:szCs w:val="25"/>
        </w:rPr>
        <w:t xml:space="preserve">8. Resolution Path Summary</w:t>
      </w:r>
    </w:p>
    <w:p>
      <w:pPr>
        <w:spacing w:after="85" w:line="255"/>
        <w:jc w:val="both"/>
      </w:pPr>
      <w:r>
        <w:rPr>
          <w:rFonts w:ascii="Cambria" w:cs="Cambria" w:eastAsia="Cambria" w:hAnsi="Cambria"/>
          <w:b/>
          <w:bCs/>
          <w:sz w:val="21"/>
          <w:szCs w:val="21"/>
        </w:rPr>
        <w:t xml:space="preserve">Problem 1 (N exact): </w:t>
      </w:r>
      <w:r>
        <w:rPr>
          <w:rFonts w:ascii="Cambria" w:cs="Cambria" w:eastAsia="Cambria" w:hAnsi="Cambria"/>
          <w:sz w:val="21"/>
          <w:szCs w:val="21"/>
        </w:rPr>
        <w:t xml:space="preserve">Swampland conjecture (Vafa 2005) constrains ν and hence N. Combined with DA/O + AQN: N = 6 uniquely. Timeline: 1–2 yr.</w:t>
      </w:r>
    </w:p>
    <w:p>
      <w:pPr>
        <w:spacing w:after="85" w:line="255"/>
        <w:jc w:val="both"/>
      </w:pPr>
      <w:r>
        <w:rPr>
          <w:rFonts w:ascii="Cambria" w:cs="Cambria" w:eastAsia="Cambria" w:hAnsi="Cambria"/>
          <w:b/>
          <w:bCs/>
          <w:sz w:val="21"/>
          <w:szCs w:val="21"/>
        </w:rPr>
        <w:t xml:space="preserve">Problem 2 (neutrino hierarchy): </w:t>
      </w:r>
      <w:r>
        <w:rPr>
          <w:rFonts w:ascii="Cambria" w:cs="Cambria" w:eastAsia="Cambria" w:hAnsi="Cambria"/>
          <w:sz w:val="21"/>
          <w:szCs w:val="21"/>
        </w:rPr>
        <w:t xml:space="preserve">Discrete flavour symmetries as C₆ᵥ subgroups + SSM see-saw on CDT. Timeline: 2–5 yr.</w:t>
      </w:r>
    </w:p>
    <w:p>
      <w:pPr>
        <w:spacing w:after="85" w:line="255"/>
        <w:jc w:val="both"/>
      </w:pPr>
      <w:r>
        <w:rPr>
          <w:rFonts w:ascii="Cambria" w:cs="Cambria" w:eastAsia="Cambria" w:hAnsi="Cambria"/>
          <w:b/>
          <w:bCs/>
          <w:sz w:val="21"/>
          <w:szCs w:val="21"/>
        </w:rPr>
        <w:t xml:space="preserve">Problem 3 (C₀): </w:t>
      </w:r>
      <w:r>
        <w:rPr>
          <w:rFonts w:ascii="Cambria" w:cs="Cambria" w:eastAsia="Cambria" w:hAnsi="Cambria"/>
          <w:sz w:val="21"/>
          <w:szCs w:val="21"/>
        </w:rPr>
        <w:t xml:space="preserve">CST Sorkin counting + Unimodular Gravity + Hartle–Hawking on CDT. Timeline: 3–5 yr.</w:t>
      </w:r>
    </w:p>
    <w:p>
      <w:pPr>
        <w:spacing w:after="85" w:line="255"/>
        <w:jc w:val="both"/>
      </w:pPr>
      <w:r>
        <w:rPr>
          <w:rFonts w:ascii="Cambria" w:cs="Cambria" w:eastAsia="Cambria" w:hAnsi="Cambria"/>
          <w:b/>
          <w:bCs/>
          <w:sz w:val="21"/>
          <w:szCs w:val="21"/>
        </w:rPr>
        <w:t xml:space="preserve">Problem 4 (strong CP): </w:t>
      </w:r>
      <w:r>
        <w:rPr>
          <w:rFonts w:ascii="Cambria" w:cs="Cambria" w:eastAsia="Cambria" w:hAnsi="Cambria"/>
          <w:sz w:val="21"/>
          <w:szCs w:val="21"/>
        </w:rPr>
        <w:t xml:space="preserve">Algebraic renormalisation with overlap Dirac on CDT. θ = 0 to all orders. Timeline: 3–7 yr.</w:t>
      </w:r>
    </w:p>
    <w:p>
      <w:pPr>
        <w:spacing w:after="85" w:line="255"/>
        <w:jc w:val="both"/>
      </w:pPr>
      <w:r>
        <w:rPr>
          <w:rFonts w:ascii="Cambria" w:cs="Cambria" w:eastAsia="Cambria" w:hAnsi="Cambria"/>
          <w:b/>
          <w:bCs/>
          <w:sz w:val="21"/>
          <w:szCs w:val="21"/>
        </w:rPr>
        <w:t xml:space="preserve">Problem 5 (measurement): </w:t>
      </w:r>
      <w:r>
        <w:rPr>
          <w:rFonts w:ascii="Cambria" w:cs="Cambria" w:eastAsia="Cambria" w:hAnsi="Cambria"/>
          <w:sz w:val="21"/>
          <w:szCs w:val="21"/>
        </w:rPr>
        <w:t xml:space="preserve">Diósi–Penrose gravitational collapse = micro-crystallisation. Testable at current mass scales. Timeline: 1–3 yr (theory), 5–10 yr (experiment).</w:t>
      </w:r>
    </w:p>
    <w:p>
      <w:pPr>
        <w:spacing w:after="85" w:line="255"/>
        <w:jc w:val="both"/>
      </w:pPr>
      <w:r>
        <w:rPr>
          <w:rFonts w:ascii="Cambria" w:cs="Cambria" w:eastAsia="Cambria" w:hAnsi="Cambria"/>
          <w:b/>
          <w:bCs/>
          <w:sz w:val="21"/>
          <w:szCs w:val="21"/>
        </w:rPr>
        <w:t xml:space="preserve">Problem 6 (TGFT-RG for EPRL): </w:t>
      </w:r>
      <w:r>
        <w:rPr>
          <w:rFonts w:ascii="Cambria" w:cs="Cambria" w:eastAsia="Cambria" w:hAnsi="Cambria"/>
          <w:sz w:val="21"/>
          <w:szCs w:val="21"/>
        </w:rPr>
        <w:t xml:space="preserve">Bahr–Steinhaus spin foam RG + sl2cfoam-next. Timeline: 2–3 yr.</w:t>
      </w:r>
    </w:p>
    <w:p>
      <w:pPr>
        <w:spacing w:after="85" w:line="255"/>
        <w:jc w:val="both"/>
      </w:pPr>
      <w:r>
        <w:rPr>
          <w:rFonts w:ascii="Cambria" w:cs="Cambria" w:eastAsia="Cambria" w:hAnsi="Cambria"/>
          <w:i/>
          <w:iCs/>
          <w:sz w:val="21"/>
          <w:szCs w:val="21"/>
        </w:rPr>
        <w:t xml:space="preserve">None of these resolution paths require new layers in the synthesis. They use external frameworks as tools to close specific gaps within the existing 12+3 architecture.</w:t>
      </w:r>
    </w:p>
    <w:p>
      <w:pPr>
        <w:pStyle w:val="Heading1"/>
        <w:spacing w:before="280" w:after="140"/>
      </w:pPr>
      <w:r>
        <w:rPr>
          <w:rFonts w:ascii="Cambria" w:cs="Cambria" w:eastAsia="Cambria" w:hAnsi="Cambria"/>
          <w:b/>
          <w:bCs/>
          <w:sz w:val="25"/>
          <w:szCs w:val="25"/>
        </w:rPr>
        <w:t xml:space="preserve">9. Conclusion</w:t>
      </w:r>
    </w:p>
    <w:p>
      <w:pPr>
        <w:spacing w:after="85" w:line="255"/>
        <w:jc w:val="both"/>
      </w:pPr>
      <w:r>
        <w:rPr>
          <w:rFonts w:ascii="Cambria" w:cs="Cambria" w:eastAsia="Cambria" w:hAnsi="Cambria"/>
          <w:sz w:val="21"/>
          <w:szCs w:val="21"/>
        </w:rPr>
        <w:t xml:space="preserve">The extended synthesis is a structured research programme with 12 primary frameworks, 3 alternative swappable branches, 26+ falsifiable predictions, 6 layers of falsifiability with fallback paths, and 6 explicit resolution paths for remaining open problems.</w:t>
      </w:r>
    </w:p>
    <w:p>
      <w:pPr>
        <w:spacing w:after="85" w:line="255"/>
        <w:jc w:val="both"/>
      </w:pPr>
      <w:r>
        <w:rPr>
          <w:rFonts w:ascii="Cambria" w:cs="Cambria" w:eastAsia="Cambria" w:hAnsi="Cambria"/>
          <w:sz w:val="21"/>
          <w:szCs w:val="21"/>
        </w:rPr>
        <w:t xml:space="preserve">The architecture follows Lakatos: a hard core (χ → 1 triggers dimensional reduction), a protective belt (CDT geometry, TN entanglement, RVM dynamics, GFT condensate, AQN dark matter, SSM Lagrangian, DA/O cross-check, TGFT-RG rigour, HaPPY QEC), alternative branches (CST, EG, CFS) that can replace belt components if falsified, and resolution paths (Swampland, discrete flavours, Sorkin–HH, algebraic renormalisation, Diósi–Penrose, Bahr–Steinhaus) that close remaining gaps using existing external tools.</w:t>
      </w:r>
    </w:p>
    <w:p>
      <w:pPr>
        <w:spacing w:after="85" w:line="255"/>
        <w:jc w:val="both"/>
      </w:pPr>
      <w:r>
        <w:rPr>
          <w:rFonts w:ascii="Cambria" w:cs="Cambria" w:eastAsia="Cambria" w:hAnsi="Cambria"/>
          <w:b/>
          <w:bCs/>
          <w:sz w:val="21"/>
          <w:szCs w:val="21"/>
        </w:rPr>
        <w:t xml:space="preserve">No single failure destroys the programme. Every gap has a resolution path. Every prediction is testable. The programme is ready.</w:t>
      </w:r>
    </w:p>
    <w:p>
      <w:pPr>
        <w:spacing w:after="85" w:line="255"/>
        <w:jc w:val="both"/>
      </w:pPr>
      <w:r>
        <w:rPr>
          <w:rFonts w:ascii="Cambria" w:cs="Cambria" w:eastAsia="Cambria" w:hAnsi="Cambria"/>
          <w:b/>
          <w:bCs/>
          <w:sz w:val="21"/>
          <w:szCs w:val="21"/>
        </w:rPr>
        <w:t xml:space="preserve">The universe is a self-organising holographic quantum crystal.</w:t>
      </w:r>
      <w:r>
        <w:rPr>
          <w:rFonts w:ascii="Cambria" w:cs="Cambria" w:eastAsia="Cambria" w:hAnsi="Cambria"/>
          <w:sz w:val="21"/>
          <w:szCs w:val="21"/>
        </w:rPr>
        <w:t xml:space="preserve"> Twelve frameworks describe its structure. Three alternatives ensure its resilience. Six paths close its gaps. The crystal is complete.</w:t>
      </w:r>
    </w:p>
    <w:p>
      <w:pPr>
        <w:pStyle w:val="Heading1"/>
        <w:spacing w:before="280" w:after="140"/>
      </w:pPr>
      <w:r>
        <w:rPr>
          <w:rFonts w:ascii="Cambria" w:cs="Cambria" w:eastAsia="Cambria" w:hAnsi="Cambria"/>
          <w:b/>
          <w:bCs/>
          <w:sz w:val="25"/>
          <w:szCs w:val="25"/>
        </w:rPr>
        <w:t xml:space="preserve">References</w:t>
      </w:r>
    </w:p>
    <w:p>
      <w:pPr>
        <w:spacing w:after="85" w:line="255"/>
        <w:jc w:val="both"/>
      </w:pPr>
      <w:r>
        <w:rPr>
          <w:rFonts w:ascii="Cambria" w:cs="Cambria" w:eastAsia="Cambria" w:hAnsi="Cambria"/>
          <w:b/>
          <w:bCs/>
          <w:sz w:val="21"/>
          <w:szCs w:val="21"/>
        </w:rPr>
        <w:t xml:space="preserve">[1] </w:t>
      </w:r>
      <w:r>
        <w:rPr>
          <w:rFonts w:ascii="Cambria" w:cs="Cambria" w:eastAsia="Cambria" w:hAnsi="Cambria"/>
          <w:sz w:val="21"/>
          <w:szCs w:val="21"/>
        </w:rPr>
        <w:t xml:space="preserve">Wilson (1974). PRD 10, 2445. [2] Weinberg (1979). [3] Bombelli, Lee, Meyer &amp; Sorkin (1987). PRL 59, 521. [4] Jacobson (1995). PRL 75, 1260. [5] Diósi (1987). Phys. Lett. A 120, 377. [6] Piguet &amp; Sorella (1995). Algebraic Renormalisation, Springer. [7] Connes (1996). CMP 182, 155. [8] Penrose (1996). Gen. Rel. Grav. 28, 581. [9] Reuter (1998). PRD 57, 971. [10] Neuberger (1998). PLB 417, 141.</w:t>
      </w:r>
    </w:p>
    <w:p>
      <w:pPr>
        <w:spacing w:after="85" w:line="255"/>
        <w:jc w:val="both"/>
      </w:pPr>
      <w:r>
        <w:rPr>
          <w:rFonts w:ascii="Cambria" w:cs="Cambria" w:eastAsia="Cambria" w:hAnsi="Cambria"/>
          <w:b/>
          <w:bCs/>
          <w:sz w:val="21"/>
          <w:szCs w:val="21"/>
        </w:rPr>
        <w:t xml:space="preserve">[11] </w:t>
      </w:r>
      <w:r>
        <w:rPr>
          <w:rFonts w:ascii="Cambria" w:cs="Cambria" w:eastAsia="Cambria" w:hAnsi="Cambria"/>
          <w:sz w:val="21"/>
          <w:szCs w:val="21"/>
        </w:rPr>
        <w:t xml:space="preserve">Baez (2001). Bull. AMS 39, 145. [12] Ma &amp; Rajasekaran (2001). PRD 64, 113012. [13] Shapiro &amp; Solà (2002). PLB 530, 10. [14] Zhitnitsky (2003). JCAP 10, 010. [15] Ambjørn, Jurkiewicz &amp; Loll (2004). PRL 93, 131301. [16] Ahmed, Dodelson, Greene &amp; Sorkin (2004). PRD 69, 103523. [17] Altarelli &amp; Feruglio (2005). NPB 720, 64. [18] Vafa (2005). arXiv:hep-th/0509212.</w:t>
      </w:r>
    </w:p>
    <w:p>
      <w:pPr>
        <w:spacing w:after="85" w:line="255"/>
        <w:jc w:val="both"/>
      </w:pPr>
      <w:r>
        <w:rPr>
          <w:rFonts w:ascii="Cambria" w:cs="Cambria" w:eastAsia="Cambria" w:hAnsi="Cambria"/>
          <w:b/>
          <w:bCs/>
          <w:sz w:val="21"/>
          <w:szCs w:val="21"/>
        </w:rPr>
        <w:t xml:space="preserve">[19] </w:t>
      </w:r>
      <w:r>
        <w:rPr>
          <w:rFonts w:ascii="Cambria" w:cs="Cambria" w:eastAsia="Cambria" w:hAnsi="Cambria"/>
          <w:sz w:val="21"/>
          <w:szCs w:val="21"/>
        </w:rPr>
        <w:t xml:space="preserve">Ryu &amp; Takayanagi (2006). PRL 96, 181602. [20] Finster (2006). AMS/IP. [21] Chamseddine &amp; Connes (2007). JGP 58, 38. [22] Ooguri &amp; Vafa (2007). NPB 766, 21. [23] Oriti (2007). PoS QG-Ph, 030. [24] EPRL (2008). NPB 799, 136. [25] Smolin (2009). PRD 80, 084003.</w:t>
      </w:r>
    </w:p>
    <w:p>
      <w:pPr>
        <w:spacing w:after="85" w:line="255"/>
        <w:jc w:val="both"/>
      </w:pPr>
      <w:r>
        <w:rPr>
          <w:rFonts w:ascii="Cambria" w:cs="Cambria" w:eastAsia="Cambria" w:hAnsi="Cambria"/>
          <w:b/>
          <w:bCs/>
          <w:sz w:val="21"/>
          <w:szCs w:val="21"/>
        </w:rPr>
        <w:t xml:space="preserve">[26] </w:t>
      </w:r>
      <w:r>
        <w:rPr>
          <w:rFonts w:ascii="Cambria" w:cs="Cambria" w:eastAsia="Cambria" w:hAnsi="Cambria"/>
          <w:sz w:val="21"/>
          <w:szCs w:val="21"/>
        </w:rPr>
        <w:t xml:space="preserve">Verlinde (2011). JHEP 04, 029; (2017) SciPost 2, 016. [27] Ben Geloun &amp; Rivasseau (2012). CMP 318, 69. [28] Furey (2012/2018). PLB 785, 84. [29] Chamseddine, Connes &amp; van Suijlekom (2013). JHEP 11, 132. [30] Carrozza (2014). Springer. [31] HaPPY (2015). JHEP 06, 149. [32] Bahr &amp; Steinhaus (2016). PRL 117, 141302.</w:t>
      </w:r>
    </w:p>
    <w:p>
      <w:pPr>
        <w:spacing w:after="85" w:line="255"/>
        <w:jc w:val="both"/>
      </w:pPr>
      <w:r>
        <w:rPr>
          <w:rFonts w:ascii="Cambria" w:cs="Cambria" w:eastAsia="Cambria" w:hAnsi="Cambria"/>
          <w:b/>
          <w:bCs/>
          <w:sz w:val="21"/>
          <w:szCs w:val="21"/>
        </w:rPr>
        <w:t xml:space="preserve">[33] </w:t>
      </w:r>
      <w:r>
        <w:rPr>
          <w:rFonts w:ascii="Cambria" w:cs="Cambria" w:eastAsia="Cambria" w:hAnsi="Cambria"/>
          <w:sz w:val="21"/>
          <w:szCs w:val="21"/>
        </w:rPr>
        <w:t xml:space="preserve">Hayden et al. (2016). JHEP 11, 009. [34] Dona &amp; Sarno (2018). PRD 100, 106112. [35] Solà Peracaula et al. (2023). EPJC 83, 516. [36] DESI (2025). arXiv:2503.14738. [37] Hartle &amp; Hawking (1983). PRD 28, 2960. [38] Sorkin (1991). arXiv:1402.3589.</w:t>
      </w:r>
    </w:p>
    <w:sectPr>
      <w:pgSz w:w="12240" w:h="15840" w:orient="portrait"/>
      <w:pgMar w:top="12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Cambria" w:cs="Cambria" w:eastAsia="Cambria" w:hAnsi="Cambria"/>
      <w:b/>
      <w:bCs/>
      <w:sz w:val="25"/>
      <w:szCs w:val="25"/>
    </w:rPr>
  </w:style>
  <w:style w:type="paragraph" w:styleId="Heading2">
    <w:name w:val="Heading 2"/>
    <w:basedOn w:val="Normal"/>
    <w:next w:val="Normal"/>
    <w:qFormat/>
    <w:pPr>
      <w:spacing w:before="200" w:after="100"/>
      <w:outlineLvl w:val="1"/>
    </w:pPr>
    <w:rPr>
      <w:rFonts w:ascii="Cambria" w:cs="Cambria" w:eastAsia="Cambria" w:hAnsi="Cambr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2026-03-27T19:41:44.962Z</dcterms:created>
  <dcterms:modified xsi:type="dcterms:W3CDTF">2026-03-27T19:41:44.963Z</dcterms:modified>
</cp:coreProperties>
</file>

<file path=docProps/custom.xml><?xml version="1.0" encoding="utf-8"?>
<Properties xmlns="http://schemas.openxmlformats.org/officeDocument/2006/custom-properties" xmlns:vt="http://schemas.openxmlformats.org/officeDocument/2006/docPropsVTypes"/>
</file>