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Розширений кристалографічний синтез</w:t>
      </w:r>
    </w:p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з тензорною РГ, алгебрами поділу, трьома альтернативними гілками</w:t>
      </w:r>
    </w:p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та шістьма шляхами вирішення відкритих проблем</w:t>
      </w:r>
    </w:p>
    <w:p>
      <w:pPr>
        <w:spacing w:after="25"/>
      </w:pPr>
    </w:p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3"/>
          <w:szCs w:val="23"/>
        </w:rPr>
        <w:t xml:space="preserve">LGT–AS–SSM–RVM–AQN–CDT–TN–GFT/EPRL–TGFT-RG–DA/O–HaPPY–CCDR</w:t>
      </w:r>
    </w:p>
    <w:p>
      <w:pPr>
        <w:spacing w:after="45"/>
        <w:jc w:val="center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з CST ↔ CDT, EG ↔ CDT+TN, CFS ↔ CDT</w:t>
      </w:r>
    </w:p>
    <w:p>
      <w:pPr>
        <w:spacing w:after="25"/>
      </w:pP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Вілсон (1974) · Вайнберг–Ройтер (1979/98) · Бомбеллі–Соркін (1987)</w:t>
      </w: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Якобсон–Верлінде (1995/2011) · Конн–Шамседдін (1996/2007) · Шапіро–Сола (2002)</w:t>
      </w: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Житницький (2003) · Ambjørn et al. (2004) · Фінстер (2006) · RT (2006)</w:t>
      </w: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Оріті (2007) · EPRL (2008) · Бен Гельон–Рівассо (2012) · Ф’юрі (2012/18)</w:t>
      </w: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Карроцца (2014) · HaPPY (2015) · CCDR (2026)</w:t>
      </w:r>
    </w:p>
    <w:p>
      <w:pPr>
        <w:spacing w:after="45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[Імена авторів приховані] · Березень 2026</w:t>
      </w:r>
    </w:p>
    <w:p>
      <w:pPr>
        <w:spacing w:after="160"/>
      </w:pP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Анотація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12 первинних рамок, 3 альтернативні замінні гілки та 6 шляхів вирішення відкритих проблем. Нові інтеграції: TGFT-RG (Бен Гельон &amp; Рівассо 2012, Карроцца 2014) — вілсонівська РГ для ν та γ; DA/O (Ф’юрі 2012/18, Баез 2001) — алгебраїчний шлях до калібрувальної групи, N ~ 6. Альтернативні гілки: CST ↔ CDT, EG ↔ CDT+TN, CFS ↔ CDT. Шість шляхів вирішення: N через програму Свомпленда (Вафа 2005); ієрархія нейтрино через дискретні ароматні симетрії як підгрупи C₆ᵥ; C₀ через підрахунок Соркіна + Гартл–Гокінг на CDT; сильна CP через алгебраїчну ренормалізацію з оверлап-оператором Дірака; вимірювання через гравітаційний колапс Дьоші–Пенроуза = мікрокристалізація; TGFT-RG для EPRL через спін-піну РГ Бар–Штайнгауза.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1. 12 первинних рамок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 LGT (Вілсон 1974)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Обчислювальний двигун.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1.2 AS (Вайнберг 1979, Ройтер 1998)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G(μ) → G*/μ²</w:t>
      </w:r>
      <w:r>
        <w:rPr>
          <w:rFonts w:ascii="Cambria" w:cs="Cambria" w:eastAsia="Cambria" w:hAnsi="Cambria"/>
          <w:sz w:val="21"/>
          <w:szCs w:val="21"/>
        </w:rPr>
        <w:t xml:space="preserve">    (1)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1.3 SSM (Конн 1996, Шамседдін–Конн 2007)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L_SM = Tr(f(D_CDT/Λ))</w:t>
      </w:r>
      <w:r>
        <w:rPr>
          <w:rFonts w:ascii="Cambria" w:cs="Cambria" w:eastAsia="Cambria" w:hAnsi="Cambria"/>
          <w:sz w:val="21"/>
          <w:szCs w:val="21"/>
        </w:rPr>
        <w:t xml:space="preserve">    (2)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1.4 RVM (Шапіро &amp; Сола 2002)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ρ_vac(H) = C₀ + νm²H²/M²_pl, ν ~ 10⁻³</w:t>
      </w:r>
      <w:r>
        <w:rPr>
          <w:rFonts w:ascii="Cambria" w:cs="Cambria" w:eastAsia="Cambria" w:hAnsi="Cambria"/>
          <w:sz w:val="21"/>
          <w:szCs w:val="21"/>
        </w:rPr>
        <w:t xml:space="preserve">    (3)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1.5 AQN (Житницький 2003)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ТМ як дефекти. η ~ 10⁻¹⁰.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1.6 CDT (Ambjørn et al. 2004)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S₅ → SU(3)×SU(2)_L×U(1)_Y. d_s: 4 → 2.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1.7 TN (RT 2006, HNQTWY 2016)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S = Area/4G. D_eff → e^{1/4}.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1.8 GFT+EPRL (Оріті 2007, EPRL 2008)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Конденсат → ν. EPRL → f_geo.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1.9 TGFT-RG (Бен Гельон &amp; Рівассо 2012, Карроцца 2014)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Вирішує: </w:t>
      </w:r>
      <w:r>
        <w:rPr>
          <w:rFonts w:ascii="Cambria" w:cs="Cambria" w:eastAsia="Cambria" w:hAnsi="Cambria"/>
          <w:sz w:val="21"/>
          <w:szCs w:val="21"/>
        </w:rPr>
        <w:t xml:space="preserve">ν з РГ фіксованої точки; γ збіжність; стабільність конденсату; CDT A → C.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1.10 DA/O (Ф’юрі 2012/18, Баез 2001)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Додає: </w:t>
      </w:r>
      <w:r>
        <w:rPr>
          <w:rFonts w:ascii="Cambria" w:cs="Cambria" w:eastAsia="Cambria" w:hAnsi="Cambria"/>
          <w:sz w:val="21"/>
          <w:szCs w:val="21"/>
        </w:rPr>
        <w:t xml:space="preserve">C⊗H⊗O → та ж група; N ~ 6; основа F; 3 БЗ ↔ (C⊗H⊗O)³.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1.11 HaPPY (2015)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Голографічний QEC код.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1.12 CCDR (2026)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χ = S_bulk/(A/4G) → 1</w:t>
      </w:r>
      <w:r>
        <w:rPr>
          <w:rFonts w:ascii="Cambria" w:cs="Cambria" w:eastAsia="Cambria" w:hAnsi="Cambria"/>
          <w:sz w:val="21"/>
          <w:szCs w:val="21"/>
        </w:rPr>
        <w:t xml:space="preserve">    (4)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2. Три альтернативні гілки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2.1 CST ↔ CDT (Бомбеллі–Соркін 1987)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Простір-час як множина. Λ ~ 1/√N. Замінює CDT при провалі.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2.2 EG ↔ CDT+TN (Якобсон 1995, Верлінде 2011/2017)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Ейнштейн з δQ = TdS. MOND з ентропії дС.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2.3 CFS ↔ CDT (Фінстер 2006)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Оператори в гільбертовому просторі. Ейнштейн+Дірак з одного принципу.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3. Таблиця заміни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CDT → CST: </w:t>
      </w:r>
      <w:r>
        <w:rPr>
          <w:rFonts w:ascii="Cambria" w:cs="Cambria" w:eastAsia="Cambria" w:hAnsi="Cambria"/>
          <w:sz w:val="21"/>
          <w:szCs w:val="21"/>
        </w:rPr>
        <w:t xml:space="preserve">CCDR виживає. Калібрувальна з DA/O.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CDT → CFS: </w:t>
      </w:r>
      <w:r>
        <w:rPr>
          <w:rFonts w:ascii="Cambria" w:cs="Cambria" w:eastAsia="Cambria" w:hAnsi="Cambria"/>
          <w:sz w:val="21"/>
          <w:szCs w:val="21"/>
        </w:rPr>
        <w:t xml:space="preserve">CCDR переінтерпретована.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CDT+TN → EG: </w:t>
      </w:r>
      <w:r>
        <w:rPr>
          <w:rFonts w:ascii="Cambria" w:cs="Cambria" w:eastAsia="Cambria" w:hAnsi="Cambria"/>
          <w:sz w:val="21"/>
          <w:szCs w:val="21"/>
        </w:rPr>
        <w:t xml:space="preserve">Гравітація з Якобсона.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CCDR ядро провал: </w:t>
      </w:r>
      <w:r>
        <w:rPr>
          <w:rFonts w:ascii="Cambria" w:cs="Cambria" w:eastAsia="Cambria" w:hAnsi="Cambria"/>
          <w:sz w:val="21"/>
          <w:szCs w:val="21"/>
        </w:rPr>
        <w:t xml:space="preserve">рамки виживають окремо.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4. Ланцюг рівнянь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CDT → S₅ → D_CDT → Tr(f(D/Λ)) = L_SM [SSM]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→ перевірка: C⊗H⊗O [DA/O] → G*, α* [AS] → α = 1/137 [LGT]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→ TN → GFT → ν [TGFT-RG] → EPRL → f_geo → γ збіжність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→ RVM → CCDR (χ → 1) → AQN → η ~ 10⁻¹⁰ → BAO → MOND → дС</w:t>
      </w:r>
      <w:r>
        <w:rPr>
          <w:rFonts w:ascii="Cambria" w:cs="Cambria" w:eastAsia="Cambria" w:hAnsi="Cambria"/>
          <w:sz w:val="21"/>
          <w:szCs w:val="21"/>
        </w:rPr>
        <w:t xml:space="preserve">    (5)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5. Передбачення P21–P26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P21: </w:t>
      </w:r>
      <w:r>
        <w:rPr>
          <w:rFonts w:ascii="Cambria" w:cs="Cambria" w:eastAsia="Cambria" w:hAnsi="Cambria"/>
          <w:sz w:val="21"/>
          <w:szCs w:val="21"/>
        </w:rPr>
        <w:t xml:space="preserve">ν = 10⁻³ ± 10⁻⁴ з TGFT-RG. P22: γ збіжність. P23: фазовий перехід A → C.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P24: </w:t>
      </w:r>
      <w:r>
        <w:rPr>
          <w:rFonts w:ascii="Cambria" w:cs="Cambria" w:eastAsia="Cambria" w:hAnsi="Cambria"/>
          <w:sz w:val="21"/>
          <w:szCs w:val="21"/>
        </w:rPr>
        <w:t xml:space="preserve">C⊗H⊗O = S₅. P25: N = 6 з DA/O = AQN = HaPPY. P26: 3 БЗ ↔ (C⊗H⊗O)³.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6. Шарова фальсифіковність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0 (CDT): </w:t>
      </w:r>
      <w:r>
        <w:rPr>
          <w:rFonts w:ascii="Cambria" w:cs="Cambria" w:eastAsia="Cambria" w:hAnsi="Cambria"/>
          <w:sz w:val="21"/>
          <w:szCs w:val="21"/>
        </w:rPr>
        <w:t xml:space="preserve">провал → CST або CFS.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1 (GFT): </w:t>
      </w:r>
      <w:r>
        <w:rPr>
          <w:rFonts w:ascii="Cambria" w:cs="Cambria" w:eastAsia="Cambria" w:hAnsi="Cambria"/>
          <w:sz w:val="21"/>
          <w:szCs w:val="21"/>
        </w:rPr>
        <w:t xml:space="preserve">провал → ν з підгонки.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2 (TN): </w:t>
      </w:r>
      <w:r>
        <w:rPr>
          <w:rFonts w:ascii="Cambria" w:cs="Cambria" w:eastAsia="Cambria" w:hAnsi="Cambria"/>
          <w:sz w:val="21"/>
          <w:szCs w:val="21"/>
        </w:rPr>
        <w:t xml:space="preserve">провал → EG.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3 (SSM+DA/O): </w:t>
      </w:r>
      <w:r>
        <w:rPr>
          <w:rFonts w:ascii="Cambria" w:cs="Cambria" w:eastAsia="Cambria" w:hAnsi="Cambria"/>
          <w:sz w:val="21"/>
          <w:szCs w:val="21"/>
        </w:rPr>
        <w:t xml:space="preserve">один провал → інший.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Рівень 4 (RVM+CCDR): </w:t>
      </w:r>
      <w:r>
        <w:rPr>
          <w:rFonts w:ascii="Cambria" w:cs="Cambria" w:eastAsia="Cambria" w:hAnsi="Cambria"/>
          <w:sz w:val="21"/>
          <w:szCs w:val="21"/>
        </w:rPr>
        <w:t xml:space="preserve">виживає з іншим ν.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Жоден провал не знищує програму.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7. Шляхи вирішення відкритих проблем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Шість відкритих проблем. Для кожної — конкретний шлях вирішення. Це не нові шари, а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зовнішні інструменти</w:t>
      </w:r>
      <w:r>
        <w:rPr>
          <w:rFonts w:ascii="Cambria" w:cs="Cambria" w:eastAsia="Cambria" w:hAnsi="Cambria"/>
          <w:sz w:val="21"/>
          <w:szCs w:val="21"/>
        </w:rPr>
        <w:t xml:space="preserve"> для закриття конкретних прогалин.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7.1 Точне N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Статус: </w:t>
      </w:r>
      <w:r>
        <w:rPr>
          <w:rFonts w:ascii="Cambria" w:cs="Cambria" w:eastAsia="Cambria" w:hAnsi="Cambria"/>
          <w:sz w:val="21"/>
          <w:szCs w:val="21"/>
        </w:rPr>
        <w:t xml:space="preserve">N ~ 6 з трьох джерел (DA/O, AQN, HaPPY). Але “~6” ≠ “=6.”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Шлях: Програма Свомпленда (Вафа 2005, Оогурі &amp; Вафа 2007).</w:t>
      </w:r>
      <w:r>
        <w:rPr>
          <w:rFonts w:ascii="Cambria" w:cs="Cambria" w:eastAsia="Cambria" w:hAnsi="Cambria"/>
          <w:sz w:val="21"/>
          <w:szCs w:val="21"/>
        </w:rPr>
        <w:t xml:space="preserve"> Гіпотеза де Сіттера обмежує |dρ_vac/dH|/ρ_vac ≥ c/M_pl. Для RVM це обмежує ν = N_eff/(48π) і отже N. Різні цілі N дають різні ν; лише одне задовольняє всі три обмеження.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Очікуваний результат: </w:t>
      </w:r>
      <w:r>
        <w:rPr>
          <w:rFonts w:ascii="Cambria" w:cs="Cambria" w:eastAsia="Cambria" w:hAnsi="Cambria"/>
          <w:sz w:val="21"/>
          <w:szCs w:val="21"/>
        </w:rPr>
        <w:t xml:space="preserve">N = 6 однозначно.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Термін: </w:t>
      </w:r>
      <w:r>
        <w:rPr>
          <w:rFonts w:ascii="Cambria" w:cs="Cambria" w:eastAsia="Cambria" w:hAnsi="Cambria"/>
          <w:sz w:val="21"/>
          <w:szCs w:val="21"/>
        </w:rPr>
        <w:t xml:space="preserve">1–2 роки.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7.2 Ієрархія мас нейтрино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Статус: </w:t>
      </w:r>
      <w:r>
        <w:rPr>
          <w:rFonts w:ascii="Cambria" w:cs="Cambria" w:eastAsia="Cambria" w:hAnsi="Cambria"/>
          <w:sz w:val="21"/>
          <w:szCs w:val="21"/>
        </w:rPr>
        <w:t xml:space="preserve">Три покоління з БЗ, але нормальна чи інвертована — не визначено.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Шлях: Дискретні ароматні симетрії як підгрупи C₆ᵥ (Ма &amp; Раджасекаран 2001, Алтареллі &amp; Ферульйо 2005)</w:t>
      </w:r>
      <w:r>
        <w:rPr>
          <w:rFonts w:ascii="Cambria" w:cs="Cambria" w:eastAsia="Cambria" w:hAnsi="Cambria"/>
          <w:sz w:val="21"/>
          <w:szCs w:val="21"/>
        </w:rPr>
        <w:t xml:space="preserve"> + SSM сі-со обмеження (Шамседдін, Конн &amp; ван Сейлеком 2013). C₃ симетрія БЗ → нормальна. C₃ зламана до C₂ → інвертована можлива.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Термін: </w:t>
      </w:r>
      <w:r>
        <w:rPr>
          <w:rFonts w:ascii="Cambria" w:cs="Cambria" w:eastAsia="Cambria" w:hAnsi="Cambria"/>
          <w:sz w:val="21"/>
          <w:szCs w:val="21"/>
        </w:rPr>
        <w:t xml:space="preserve">2–5 років.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7.3 C₀ з перших принципів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Статус: </w:t>
      </w:r>
      <w:r>
        <w:rPr>
          <w:rFonts w:ascii="Cambria" w:cs="Cambria" w:eastAsia="Cambria" w:hAnsi="Cambria"/>
          <w:sz w:val="21"/>
          <w:szCs w:val="21"/>
        </w:rPr>
        <w:t xml:space="preserve">Параметризована RVM. CST Λ ~ 1/√N — правильний порядок.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Шлях 1: Підрахунок Соркіна (Соркін 1991, Ахмед та ін. 2004).</w:t>
      </w:r>
      <w:r>
        <w:rPr>
          <w:rFonts w:ascii="Cambria" w:cs="Cambria" w:eastAsia="Cambria" w:hAnsi="Cambria"/>
          <w:sz w:val="21"/>
          <w:szCs w:val="21"/>
        </w:rPr>
        <w:t xml:space="preserve"> N ~ 10¹²² → Λ ~ 10⁻¹²² M⁴_pl. Доповнити кристалічним поправковим фактором.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Шлях 2: Унімодулярна гравітація (Ейнштейн 1919, Смолін 2009).</w:t>
      </w:r>
      <w:r>
        <w:rPr>
          <w:rFonts w:ascii="Cambria" w:cs="Cambria" w:eastAsia="Cambria" w:hAnsi="Cambria"/>
          <w:sz w:val="21"/>
          <w:szCs w:val="21"/>
        </w:rPr>
        <w:t xml:space="preserve"> C₀ = збережена стала інтегрування.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Шлях 3: Гартл–Гокінг на CDT (Гартл &amp; Гокінг 1983).</w:t>
      </w:r>
      <w:r>
        <w:rPr>
          <w:rFonts w:ascii="Cambria" w:cs="Cambria" w:eastAsia="Cambria" w:hAnsi="Cambria"/>
          <w:sz w:val="21"/>
          <w:szCs w:val="21"/>
        </w:rPr>
        <w:t xml:space="preserve"> Шляховий інтеграл CDT з безмежовими початковими умовами. Сідлова точка визначає C₀.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Термін: </w:t>
      </w:r>
      <w:r>
        <w:rPr>
          <w:rFonts w:ascii="Cambria" w:cs="Cambria" w:eastAsia="Cambria" w:hAnsi="Cambria"/>
          <w:sz w:val="21"/>
          <w:szCs w:val="21"/>
        </w:rPr>
        <w:t xml:space="preserve">3–5 років.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7.4 Сильна CP (θ = 0)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Статус: </w:t>
      </w:r>
      <w:r>
        <w:rPr>
          <w:rFonts w:ascii="Cambria" w:cs="Cambria" w:eastAsia="Cambria" w:hAnsi="Cambria"/>
          <w:sz w:val="21"/>
          <w:szCs w:val="21"/>
        </w:rPr>
        <w:t xml:space="preserve">SSM дає θ_tree = 0 (Tr(f(D/Λ)) дійсний). Радіаційні поправки можуть регенерувати θ ≠ 0.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Шлях: Алгебраїчна ренормалізація з оверлап-оператором Дірака (Піге &amp; Сорелла 1995; Нойбергер 1998).</w:t>
      </w:r>
      <w:r>
        <w:rPr>
          <w:rFonts w:ascii="Cambria" w:cs="Cambria" w:eastAsia="Cambria" w:hAnsi="Cambria"/>
          <w:sz w:val="21"/>
          <w:szCs w:val="21"/>
        </w:rPr>
        <w:t xml:space="preserve"> Оверлап-оператор на CDT має точну хіральну симетрію (Гінспарг–Вілсон). Тотожність Славнова–Тейлора захищає θ = 0 на всіх порядках.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Термін: </w:t>
      </w:r>
      <w:r>
        <w:rPr>
          <w:rFonts w:ascii="Cambria" w:cs="Cambria" w:eastAsia="Cambria" w:hAnsi="Cambria"/>
          <w:sz w:val="21"/>
          <w:szCs w:val="21"/>
        </w:rPr>
        <w:t xml:space="preserve">3–7 років.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7.5 Квантове вимірювання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Статус: </w:t>
      </w:r>
      <w:r>
        <w:rPr>
          <w:rFonts w:ascii="Cambria" w:cs="Cambria" w:eastAsia="Cambria" w:hAnsi="Cambria"/>
          <w:sz w:val="21"/>
          <w:szCs w:val="21"/>
        </w:rPr>
        <w:t xml:space="preserve">Правило Борна з CCDR — інтерпретативне. Чому визначені результати — не пояснено.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Шлях: Гравітаційний колапс Дьоші–Пенроуза (Дьоші 1987, Пенроуз 1996) = мікрокристалізація.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Коли суперпозиція включає дві розрізнювані конфігурації кристалу, ґратка не може підтримувати обидві. Стан кристалізується в одну конфігурацію.</w:t>
      </w:r>
    </w:p>
    <w:p>
      <w:pPr>
        <w:spacing w:before="110" w:after="110"/>
        <w:ind w:left="44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τ_collapse ~ ħ/(GΔM²/R)</w:t>
      </w:r>
      <w:r>
        <w:rPr>
          <w:rFonts w:ascii="Cambria" w:cs="Cambria" w:eastAsia="Cambria" w:hAnsi="Cambria"/>
          <w:sz w:val="21"/>
          <w:szCs w:val="21"/>
        </w:rPr>
        <w:t xml:space="preserve">    (6)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Макроскопічний об’єкт: τ ~ 10⁻³ с (миттєво). Один атом: τ ~ 10²⁵ с (ніколи). Колапс = мікрокристалізація: суперпозиція “замерзає” коли χ → 1 для гравітаційного сектору системи.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Тестоване передбачення: </w:t>
      </w:r>
      <w:r>
        <w:rPr>
          <w:rFonts w:ascii="Cambria" w:cs="Cambria" w:eastAsia="Cambria" w:hAnsi="Cambria"/>
          <w:sz w:val="21"/>
          <w:szCs w:val="21"/>
        </w:rPr>
        <w:t xml:space="preserve">експерименти з масивними суперпозиціями (Арндт, Баумістер) — в 1–2 порядках від порогу.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Термін: </w:t>
      </w:r>
      <w:r>
        <w:rPr>
          <w:rFonts w:ascii="Cambria" w:cs="Cambria" w:eastAsia="Cambria" w:hAnsi="Cambria"/>
          <w:sz w:val="21"/>
          <w:szCs w:val="21"/>
        </w:rPr>
        <w:t xml:space="preserve">1–3 роки (теорія), 5–10 років (експеримент).</w:t>
      </w:r>
    </w:p>
    <w:p>
      <w:pPr>
        <w:pStyle w:val="Heading2"/>
        <w:spacing w:before="200" w:after="100"/>
      </w:pPr>
      <w:r>
        <w:rPr>
          <w:rFonts w:ascii="Cambria" w:cs="Cambria" w:eastAsia="Cambria" w:hAnsi="Cambria"/>
          <w:b/>
          <w:bCs/>
          <w:i/>
          <w:iCs/>
          <w:sz w:val="22"/>
          <w:szCs w:val="22"/>
        </w:rPr>
        <w:t xml:space="preserve">7.6 TGFT-RG для EPRL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Статус: </w:t>
      </w:r>
      <w:r>
        <w:rPr>
          <w:rFonts w:ascii="Cambria" w:cs="Cambria" w:eastAsia="Cambria" w:hAnsi="Cambria"/>
          <w:sz w:val="21"/>
          <w:szCs w:val="21"/>
        </w:rPr>
        <w:t xml:space="preserve">Тензорна РГ існує для кольорових тензорних моделей. EPRL має γ та обмеження простоти.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Шлях: Спін-пінна РГ Бар–Штайнгауза (Бар &amp; Штайнгауз 2016, Дона &amp; Сарно 2018).</w:t>
      </w:r>
      <w:r>
        <w:rPr>
          <w:rFonts w:ascii="Cambria" w:cs="Cambria" w:eastAsia="Cambria" w:hAnsi="Cambria"/>
          <w:sz w:val="21"/>
          <w:szCs w:val="21"/>
        </w:rPr>
        <w:t xml:space="preserve"> Огрублення специфічно для EPRL. Код sl2cfoam-next існує.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Програма: </w:t>
      </w:r>
      <w:r>
        <w:rPr>
          <w:rFonts w:ascii="Cambria" w:cs="Cambria" w:eastAsia="Cambria" w:hAnsi="Cambria"/>
          <w:sz w:val="21"/>
          <w:szCs w:val="21"/>
        </w:rPr>
        <w:t xml:space="preserve">(1) Бар–Штайнгауз для EPRL з sl2cfoam-next; (2) бета-функції для m_GFT, λ_GFT, γ; (3) ІЧ фіксована точка → ν, γ*; (4) перевірка що ІЧ = CDT C-фаза.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Термін: </w:t>
      </w:r>
      <w:r>
        <w:rPr>
          <w:rFonts w:ascii="Cambria" w:cs="Cambria" w:eastAsia="Cambria" w:hAnsi="Cambria"/>
          <w:sz w:val="21"/>
          <w:szCs w:val="21"/>
        </w:rPr>
        <w:t xml:space="preserve">2–3 роки.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8. Зведена таблиця шляхів вирішення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N точне: </w:t>
      </w:r>
      <w:r>
        <w:rPr>
          <w:rFonts w:ascii="Cambria" w:cs="Cambria" w:eastAsia="Cambria" w:hAnsi="Cambria"/>
          <w:sz w:val="21"/>
          <w:szCs w:val="21"/>
        </w:rPr>
        <w:t xml:space="preserve">Свомпленд (Вафа 2005) + DA/O + AQN → N = 6. 1–2 р.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Нейтрино: </w:t>
      </w:r>
      <w:r>
        <w:rPr>
          <w:rFonts w:ascii="Cambria" w:cs="Cambria" w:eastAsia="Cambria" w:hAnsi="Cambria"/>
          <w:sz w:val="21"/>
          <w:szCs w:val="21"/>
        </w:rPr>
        <w:t xml:space="preserve">C₆ᵥ підгрупи + SSM сі-со. 2–5 р.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C₀: </w:t>
      </w:r>
      <w:r>
        <w:rPr>
          <w:rFonts w:ascii="Cambria" w:cs="Cambria" w:eastAsia="Cambria" w:hAnsi="Cambria"/>
          <w:sz w:val="21"/>
          <w:szCs w:val="21"/>
        </w:rPr>
        <w:t xml:space="preserve">Соркін + унімодулярна + Гартл–Гокінг на CDT. 3–5 р.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Сильна CP: </w:t>
      </w:r>
      <w:r>
        <w:rPr>
          <w:rFonts w:ascii="Cambria" w:cs="Cambria" w:eastAsia="Cambria" w:hAnsi="Cambria"/>
          <w:sz w:val="21"/>
          <w:szCs w:val="21"/>
        </w:rPr>
        <w:t xml:space="preserve">алгебраїчна ренормалізація + оверлап на CDT. θ = 0 на всіх порядках. 3–7 р.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Вимірювання: </w:t>
      </w:r>
      <w:r>
        <w:rPr>
          <w:rFonts w:ascii="Cambria" w:cs="Cambria" w:eastAsia="Cambria" w:hAnsi="Cambria"/>
          <w:sz w:val="21"/>
          <w:szCs w:val="21"/>
        </w:rPr>
        <w:t xml:space="preserve">Дьоші–Пенроуз = мікрокристалізація. 1–3 р (теорія), 5–10 р (експ.).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TGFT-RG для EPRL: </w:t>
      </w:r>
      <w:r>
        <w:rPr>
          <w:rFonts w:ascii="Cambria" w:cs="Cambria" w:eastAsia="Cambria" w:hAnsi="Cambria"/>
          <w:sz w:val="21"/>
          <w:szCs w:val="21"/>
        </w:rPr>
        <w:t xml:space="preserve">Бар–Штайнгауз + sl2cfoam-next. 2–3 р.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Жоден шлях не потребує нових шарів. Зовнішні інструменти для закриття прогалин у 12+3.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9. Висновок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Структурована дослідницька програма: 12 первинних рамок, 3 альтернативні гілки, 26+ передбачень, 6 рівнів фальсифіковності, 6 шляхів вирішення. Тверде ядро: χ → 1. Захисний пояс: CDT, TN, RVM, GFT, AQN, SSM, DA/O, TGFT-RG, HaPPY. Альтернативи: CST, EG, CFS. Шляхи: Свомпленд, дискретні аромати, Соркін–ГГ, алгебраїчна ренормалізація, Дьоші–Пенроуз, Бар–Штайнгауз.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Жоден провал не знищує програму. Кожна прогалина має шлях. Кожне передбачення тестоване.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Всесвіт — самоорганізований голографічний квантовий кристал.</w:t>
      </w:r>
      <w:r>
        <w:rPr>
          <w:rFonts w:ascii="Cambria" w:cs="Cambria" w:eastAsia="Cambria" w:hAnsi="Cambria"/>
          <w:sz w:val="21"/>
          <w:szCs w:val="21"/>
        </w:rPr>
        <w:t xml:space="preserve"> 12 рамок описують структуру. 3 альтернативи забезпечують стійкість. 6 шляхів закривають прогалини. Кристал повний.</w:t>
      </w:r>
    </w:p>
    <w:p>
      <w:pPr>
        <w:pStyle w:val="Heading1"/>
        <w:spacing w:before="280" w:after="140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Посилання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[1] Wilson (1974). [2] Weinberg (1979). [3] Bombelli–Sorkin (1987). PRL 59, 521. [4] Jacobson (1995). PRL 75, 1260. [5] Diósi (1987). PLA 120, 377. [6] Piguet &amp; Sorella (1995). Springer. [7] Connes (1996). CMP 182, 155. [8] Penrose (1996). GRG 28, 581. [9] Reuter (1998). PRD 57, 971. [10] Neuberger (1998). PLB 417, 141.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[11] Baez (2001). Bull. AMS 39, 145. [12] Ma &amp; Rajasekaran (2001). PRD 64, 113012. [13] Shapiro &amp; Solà (2002). PLB 530, 10. [14] Zhitnitsky (2003). JCAP 10, 010. [15] Ambjørn et al. (2004). PRL 93, 131301. [16] Ahmed et al. (2004). PRD 69, 103523. [17] Altarelli &amp; Feruglio (2005). NPB 720, 64. [18] Vafa (2005). arXiv:hep-th/0509212.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[19] RT (2006). PRL 96, 181602. [20] Finster (2006). AMS/IP. [21] CC (2007). JGP 58, 38. [22] Ooguri &amp; Vafa (2007). NPB 766, 21. [23] EPRL (2008). NPB 799, 136. [24] Smolin (2009). PRD 80, 084003. [25] Verlinde (2011/17). [26] Ben Geloun &amp; Rivasseau (2012). CMP 318, 69.</w:t>
      </w:r>
    </w:p>
    <w:p>
      <w:pPr>
        <w:spacing w:after="85" w:line="255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[27] Furey (2012/18). PLB 785, 84. [28] CCSvS (2013). JHEP 11, 132. [29] Carrozza (2014). Springer. [30] HaPPY (2015). JHEP 06, 149. [31] Bahr &amp; Steinhaus (2016). PRL 117, 141302. [32] HNQTWY (2016). JHEP 11, 009. [33] Dona &amp; Sarno (2018). PRD 100, 106112. [34] Solà Peracaula (2023). EPJC 83, 516. [35] DESI (2025). [36] Hartle &amp; Hawking (1983). PRD 28, 2960. [37] Sorkin (1991). arXiv:1402.3589.</w:t>
      </w:r>
    </w:p>
    <w:sectPr>
      <w:pgSz w:w="12240" w:h="15840" w:orient="portrait"/>
      <w:pgMar w:top="1250" w:right="1150" w:bottom="12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Cambria" w:cs="Cambria" w:eastAsia="Cambria" w:hAnsi="Cambria"/>
      <w:b/>
      <w:bCs/>
      <w:sz w:val="25"/>
      <w:szCs w:val="25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mbria" w:cs="Cambria" w:eastAsia="Cambria" w:hAnsi="Cambria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2026-03-27T19:45:54.924Z</dcterms:created>
  <dcterms:modified xsi:type="dcterms:W3CDTF">2026-03-27T19:45:54.925Z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