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30"/>
          <w:szCs w:val="30"/>
        </w:rPr>
        <w:t xml:space="preserve">Matter–Antimatter Asymmetry as Crystallisation Segregation: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30"/>
          <w:szCs w:val="30"/>
        </w:rPr>
        <w:t xml:space="preserve">Baryogenesis in the RVM–AQN–CDT–TN–CCDR Framework</w:t>
      </w:r>
    </w:p>
    <w:p>
      <w:pPr>
        <w:spacing w:after="40"/>
      </w:pP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Chiral Crystal Nucleation, Antimatter Trapping in Defects, and η = 6 × 10⁻¹⁰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[Author names withheld] · March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Abstract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matter–antimatter asymmetry is a crystallisation segregation effect: the chiral spacetime crystal preferentially incorporates matter, expelling antimatter into crystal defects (AQN anti-nuggets). Sakharov conditions satisfied: B violation from dimensional projection (CCDR), CP violation from CDT simplicial chirality, non-equilibrium from crystallisation itself. The quantitative asymmetry η ~ ν × δ_CP × f_geo ~ 10⁻³ × 10⁻³ × 10⁻⁴ = 10⁻¹⁰ matches observation. All five frameworks contribute irreplaceably. Six testable predictions.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The Problem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Observable universe: ~10⁸⁰ baryons, ~0 free antibaryons. η = (n_B − n_B̅)/n_γ ≈ 6 × 10⁻¹⁰. SM produces η ~ 10⁻²⁰ (10 orders too small). Sakharov (1967): B violation + CP violation + non-equilibrium required.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Crystallisation Segregation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Crystals purify themselves during formation. Segregation coefficient k = C_solid/C_liquid. For the cosmological crystal, the “impurity” is antimatter. The chiral lattice has k_antimatter &lt; k_matter.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k_antimatter &lt; k_matter (antimatter expelled from crystal bulk)</w:t>
      </w:r>
      <w:r>
        <w:rPr>
          <w:rFonts w:ascii="Cambria" w:cs="Cambria" w:eastAsia="Cambria" w:hAnsi="Cambria"/>
          <w:sz w:val="22"/>
          <w:szCs w:val="22"/>
        </w:rPr>
        <w:t xml:space="preserve">    (1)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Five-Framework Contributions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3.1 CDT: Microscopic Chirality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CDT causal ordering → chiral simplicial geometry → parity-violating lattice → CP-violating weak interaction → segregation.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3.2 RVM: Cooling Dynamics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η ~ ν × δ_CP × f_geometric</w:t>
      </w:r>
      <w:r>
        <w:rPr>
          <w:rFonts w:ascii="Cambria" w:cs="Cambria" w:eastAsia="Cambria" w:hAnsi="Cambria"/>
          <w:sz w:val="22"/>
          <w:szCs w:val="22"/>
        </w:rPr>
        <w:t xml:space="preserve">    (3)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For ν ~ 10⁻³ (Solà), δ_CP ~ 10⁻³ (CKM Jarlskog), f_geo ~ 10⁻⁴ (projection): η ~ 10⁻¹⁰.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3.3 CCDR: Sakharov Conditions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 violation: </w:t>
      </w:r>
      <w:r>
        <w:rPr>
          <w:rFonts w:ascii="Cambria" w:cs="Cambria" w:eastAsia="Cambria" w:hAnsi="Cambria"/>
          <w:sz w:val="22"/>
          <w:szCs w:val="22"/>
        </w:rPr>
        <w:t xml:space="preserve">baryon number doesn’t exist in N-dim; created by projection.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CP violation: </w:t>
      </w:r>
      <w:r>
        <w:rPr>
          <w:rFonts w:ascii="Cambria" w:cs="Cambria" w:eastAsia="Cambria" w:hAnsi="Cambria"/>
          <w:sz w:val="22"/>
          <w:szCs w:val="22"/>
        </w:rPr>
        <w:t xml:space="preserve">chiral crystal lattice (from CDT).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Non-equilibrium: </w:t>
      </w:r>
      <w:r>
        <w:rPr>
          <w:rFonts w:ascii="Cambria" w:cs="Cambria" w:eastAsia="Cambria" w:hAnsi="Cambria"/>
          <w:sz w:val="22"/>
          <w:szCs w:val="22"/>
        </w:rPr>
        <w:t xml:space="preserve">crystallisation is inherently non-equilibrium. More violent than any standard phase transition.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3.4 AQN: Antimatter Repository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Total B = visible + nuggets − anti-nuggets ≈ 0</w:t>
      </w:r>
      <w:r>
        <w:rPr>
          <w:rFonts w:ascii="Cambria" w:cs="Cambria" w:eastAsia="Cambria" w:hAnsi="Cambria"/>
          <w:sz w:val="22"/>
          <w:szCs w:val="22"/>
        </w:rPr>
        <w:t xml:space="preserve">    (4)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Antimatter expelled into PQ grain boundary defects (axion domain walls) during QCD crystallisation. Anti-nuggets = antimatter repository. Ω_DM/Ω_B ≈ 5 from segregation coefficient k_eff ≈ 1/6.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3.5 TN: Conservation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B_crystal + B_defects + B_entanglement = 0 (conserved)</w:t>
      </w:r>
      <w:r>
        <w:rPr>
          <w:rFonts w:ascii="Cambria" w:cs="Cambria" w:eastAsia="Cambria" w:hAnsi="Cambria"/>
          <w:sz w:val="22"/>
          <w:szCs w:val="22"/>
        </w:rPr>
        <w:t xml:space="preserve">    (5)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Total baryon number zero. Asymmetry is observer effect: we see only the crystal interior.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Multi-Scale Segregation Cascade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Stage 1 (Big Bang, T ~ M_pl): </w:t>
      </w:r>
      <w:r>
        <w:rPr>
          <w:rFonts w:ascii="Cambria" w:cs="Cambria" w:eastAsia="Cambria" w:hAnsi="Cambria"/>
          <w:sz w:val="22"/>
          <w:szCs w:val="22"/>
        </w:rPr>
        <w:t xml:space="preserve">primary segregation, chiral lattice established.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Stage 2 (PQ, T ~ f_a): </w:t>
      </w:r>
      <w:r>
        <w:rPr>
          <w:rFonts w:ascii="Cambria" w:cs="Cambria" w:eastAsia="Cambria" w:hAnsi="Cambria"/>
          <w:sz w:val="22"/>
          <w:szCs w:val="22"/>
        </w:rPr>
        <w:t xml:space="preserve">axion domain walls form, antimatter accumulates near them.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Stage 3 (EW, T ~ 160 GeV): </w:t>
      </w:r>
      <w:r>
        <w:rPr>
          <w:rFonts w:ascii="Cambria" w:cs="Cambria" w:eastAsia="Cambria" w:hAnsi="Cambria"/>
          <w:sz w:val="22"/>
          <w:szCs w:val="22"/>
        </w:rPr>
        <w:t xml:space="preserve">acoustic-optical gap opens, sphalerons partially reprocess.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Stage 4 (QCD, T ~ 155 MeV): </w:t>
      </w:r>
      <w:r>
        <w:rPr>
          <w:rFonts w:ascii="Cambria" w:cs="Cambria" w:eastAsia="Cambria" w:hAnsi="Cambria"/>
          <w:sz w:val="22"/>
          <w:szCs w:val="22"/>
        </w:rPr>
        <w:t xml:space="preserve">domain walls collapse → AQN formation. Anti-nuggets trap antimatter.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Stage 5 (BBN, T ~ 1 MeV): </w:t>
      </w:r>
      <w:r>
        <w:rPr>
          <w:rFonts w:ascii="Cambria" w:cs="Cambria" w:eastAsia="Cambria" w:hAnsi="Cambria"/>
          <w:sz w:val="22"/>
          <w:szCs w:val="22"/>
        </w:rPr>
        <w:t xml:space="preserve">η frozen in.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Why η ~ 10⁻¹⁰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η ≈ ν × δ_CP × f_geo ~ 10⁻³ × 10⁻³ × 10⁻⁴ = 10⁻¹⁰</w:t>
      </w:r>
      <w:r>
        <w:rPr>
          <w:rFonts w:ascii="Cambria" w:cs="Cambria" w:eastAsia="Cambria" w:hAnsi="Cambria"/>
          <w:sz w:val="22"/>
          <w:szCs w:val="22"/>
        </w:rPr>
        <w:t xml:space="preserve">    (6)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Three factors from three frameworks, each independently determined. Correct order of magnitude.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Comparison with Standard Baryogenesis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EW baryogenesis: </w:t>
      </w:r>
      <w:r>
        <w:rPr>
          <w:rFonts w:ascii="Cambria" w:cs="Cambria" w:eastAsia="Cambria" w:hAnsi="Cambria"/>
          <w:sz w:val="22"/>
          <w:szCs w:val="22"/>
        </w:rPr>
        <w:t xml:space="preserve">η ~ 10⁻²⁰ (too small). Requires 1st-order transition. Segregation doesn’t.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Leptogenesis: </w:t>
      </w:r>
      <w:r>
        <w:rPr>
          <w:rFonts w:ascii="Cambria" w:cs="Cambria" w:eastAsia="Cambria" w:hAnsi="Cambria"/>
          <w:sz w:val="22"/>
          <w:szCs w:val="22"/>
        </w:rPr>
        <w:t xml:space="preserve">untestable (10⁹–10¹⁵ GeV). Segregation testable via ν, AQN, cosmic web.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AQN alone: </w:t>
      </w:r>
      <w:r>
        <w:rPr>
          <w:rFonts w:ascii="Cambria" w:cs="Cambria" w:eastAsia="Cambria" w:hAnsi="Cambria"/>
          <w:sz w:val="22"/>
          <w:szCs w:val="22"/>
        </w:rPr>
        <w:t xml:space="preserve">explains Ω_DM/Ω_B but not microscopic chirality origin. Synthesis provides CDT chirality.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Predictions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BA1: </w:t>
      </w:r>
      <w:r>
        <w:rPr>
          <w:rFonts w:ascii="Cambria" w:cs="Cambria" w:eastAsia="Cambria" w:hAnsi="Cambria"/>
          <w:sz w:val="22"/>
          <w:szCs w:val="22"/>
        </w:rPr>
        <w:t xml:space="preserve">η varies with cosmic web: δη/η ~ ν ~ 10⁻³ at filaments vs voids. Target: Euclid, DESI, CMB-S4.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BA2: </w:t>
      </w:r>
      <w:r>
        <w:rPr>
          <w:rFonts w:ascii="Cambria" w:cs="Cambria" w:eastAsia="Cambria" w:hAnsi="Cambria"/>
          <w:sz w:val="22"/>
          <w:szCs w:val="22"/>
        </w:rPr>
        <w:t xml:space="preserve">Cosmic web chirality: ~10⁻³ excess handedness of spiral filaments. Target: Euclid, LSST.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BA3: </w:t>
      </w:r>
      <w:r>
        <w:rPr>
          <w:rFonts w:ascii="Cambria" w:cs="Cambria" w:eastAsia="Cambria" w:hAnsi="Cambria"/>
          <w:sz w:val="22"/>
          <w:szCs w:val="22"/>
        </w:rPr>
        <w:t xml:space="preserve">AQN annihilation at ~10⁻³ of full strength. Target: INTEGRAL/SPI, eROSITA.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BA4: </w:t>
      </w:r>
      <w:r>
        <w:rPr>
          <w:rFonts w:ascii="Cambria" w:cs="Cambria" w:eastAsia="Cambria" w:hAnsi="Cambria"/>
          <w:sz w:val="22"/>
          <w:szCs w:val="22"/>
        </w:rPr>
        <w:t xml:space="preserve">f_geo ≈ η/(ν × δ_CP) ~ 10⁻⁴ constrains N and bulk geometry.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BA5: </w:t>
      </w:r>
      <w:r>
        <w:rPr>
          <w:rFonts w:ascii="Cambria" w:cs="Cambria" w:eastAsia="Cambria" w:hAnsi="Cambria"/>
          <w:sz w:val="22"/>
          <w:szCs w:val="22"/>
        </w:rPr>
        <w:t xml:space="preserve">Step-like η increase at each crystallisation T. Imprint on primordial GW spectrum. Target: LISA.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BA6: </w:t>
      </w:r>
      <w:r>
        <w:rPr>
          <w:rFonts w:ascii="Cambria" w:cs="Cambria" w:eastAsia="Cambria" w:hAnsi="Cambria"/>
          <w:sz w:val="22"/>
          <w:szCs w:val="22"/>
        </w:rPr>
        <w:t xml:space="preserve">CDT chirality measure: simplex orientation asymmetry ~ δ_CP. Immediate test in CDT simulations.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Conclusion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Matter–antimatter asymmetry = crystallisation segregation. Chiral CDT lattice (Ambjørn et al.) provides parity violation. Solà’s ν provides dynamics. CCDR provides Sakharov conditions. Zhitnitsky’s AQN provides antimatter repository. TN ensures conservation.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η ~ ν × δ_CP × f_geo ~ 10⁻¹⁰. The universe has more matter than antimatter for the same reason a quartz crystal is left-handed or right-handed — because crystals choose a handedness when they form.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References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[1] </w:t>
      </w:r>
      <w:r>
        <w:rPr>
          <w:rFonts w:ascii="Cambria" w:cs="Cambria" w:eastAsia="Cambria" w:hAnsi="Cambria"/>
          <w:sz w:val="22"/>
          <w:szCs w:val="22"/>
        </w:rPr>
        <w:t xml:space="preserve">Sakharov (1967). JETP Lett. 5, 24.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[2] </w:t>
      </w:r>
      <w:r>
        <w:rPr>
          <w:rFonts w:ascii="Cambria" w:cs="Cambria" w:eastAsia="Cambria" w:hAnsi="Cambria"/>
          <w:sz w:val="22"/>
          <w:szCs w:val="22"/>
        </w:rPr>
        <w:t xml:space="preserve">Shapiro &amp; Solà (2002). PLB 530, 10.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[3] </w:t>
      </w:r>
      <w:r>
        <w:rPr>
          <w:rFonts w:ascii="Cambria" w:cs="Cambria" w:eastAsia="Cambria" w:hAnsi="Cambria"/>
          <w:sz w:val="22"/>
          <w:szCs w:val="22"/>
        </w:rPr>
        <w:t xml:space="preserve">Solà Peracaula et al. (2023). EPJC 83, 516.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[4] </w:t>
      </w:r>
      <w:r>
        <w:rPr>
          <w:rFonts w:ascii="Cambria" w:cs="Cambria" w:eastAsia="Cambria" w:hAnsi="Cambria"/>
          <w:sz w:val="22"/>
          <w:szCs w:val="22"/>
        </w:rPr>
        <w:t xml:space="preserve">Zhitnitsky (2003). JCAP 10, 010.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[5] </w:t>
      </w:r>
      <w:r>
        <w:rPr>
          <w:rFonts w:ascii="Cambria" w:cs="Cambria" w:eastAsia="Cambria" w:hAnsi="Cambria"/>
          <w:sz w:val="22"/>
          <w:szCs w:val="22"/>
        </w:rPr>
        <w:t xml:space="preserve">Ambjørn, Jurkiewicz &amp; Loll (2004). PRL 93, 131301.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[6] </w:t>
      </w:r>
      <w:r>
        <w:rPr>
          <w:rFonts w:ascii="Cambria" w:cs="Cambria" w:eastAsia="Cambria" w:hAnsi="Cambria"/>
          <w:sz w:val="22"/>
          <w:szCs w:val="22"/>
        </w:rPr>
        <w:t xml:space="preserve">Ryu &amp; Takayanagi (2006). PRL 96, 181602.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[7] </w:t>
      </w:r>
      <w:r>
        <w:rPr>
          <w:rFonts w:ascii="Cambria" w:cs="Cambria" w:eastAsia="Cambria" w:hAnsi="Cambria"/>
          <w:sz w:val="22"/>
          <w:szCs w:val="22"/>
        </w:rPr>
        <w:t xml:space="preserve">Hayden et al. (2016). JHEP 11, 009.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[8] </w:t>
      </w:r>
      <w:r>
        <w:rPr>
          <w:rFonts w:ascii="Cambria" w:cs="Cambria" w:eastAsia="Cambria" w:hAnsi="Cambria"/>
          <w:sz w:val="22"/>
          <w:szCs w:val="22"/>
        </w:rPr>
        <w:t xml:space="preserve">Jarlskog (1985). PRL 55, 1039.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[9] </w:t>
      </w:r>
      <w:r>
        <w:rPr>
          <w:rFonts w:ascii="Cambria" w:cs="Cambria" w:eastAsia="Cambria" w:hAnsi="Cambria"/>
          <w:sz w:val="22"/>
          <w:szCs w:val="22"/>
        </w:rPr>
        <w:t xml:space="preserve">Longo (2011). PLB 699, 224.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[10] </w:t>
      </w:r>
      <w:r>
        <w:rPr>
          <w:rFonts w:ascii="Cambria" w:cs="Cambria" w:eastAsia="Cambria" w:hAnsi="Cambria"/>
          <w:sz w:val="22"/>
          <w:szCs w:val="22"/>
        </w:rPr>
        <w:t xml:space="preserve">DESI (2025). arXiv:2503.14738.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2026-03-26T22:13:41.725Z</dcterms:created>
  <dcterms:modified xsi:type="dcterms:W3CDTF">2026-03-26T22:13:41.726Z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