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Перший обчислювальний тест передбачення T1 синтезу CDT–CCDR:</w:t>
      </w:r>
    </w:p>
    <w:p>
      <w:pPr>
        <w:spacing w:after="60"/>
        <w:jc w:val="center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осциляції спектральної вимірності</w:t>
      </w:r>
    </w:p>
    <w:p>
      <w:pPr>
        <w:spacing w:after="40"/>
      </w:pPr>
    </w:p>
    <w:p>
      <w:pPr>
        <w:spacing w:after="6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2D доказ концепції з проєкціями чутливості для 4D</w:t>
      </w:r>
    </w:p>
    <w:p>
      <w:pPr>
        <w:spacing w:after="6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[Імена авторів приховані] · Березень 2026</w:t>
      </w:r>
    </w:p>
    <w:p>
      <w:pPr>
        <w:spacing w:after="200"/>
      </w:pP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Анотація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Ми представляємо перший обчислювальний тест передбачення T1 синтезу CDT–CCDR: спектральна вимірність d_s(σ), виміряна в каузальних динамічних тріангуляціях, має демонструвати осциляторні поправки з амплітудою δd ~ ν ~ 10⁻³, де ν — коефіцієнт моделі біжучого вакууму. Ми реалізуємо повний конвеєр: (i) 2D CDT Монте-Карло симуляція з фіксацією об'єму в C-фазі де Сіттера (80 конфігурацій, ~338 вершин); (ii) вимірювання спектральної вимірності через теплове ядро ґрафового лапласіана; (iii) вилучення гладкого тренду сплайном; (iv) Фур’є-аналіз залишків; (v) валідація інжекцією сигналу. Конвеєр виконується за 7.1 с. Середньоквадратичне відхилення залишків: 0.0097. Проєкції чутливості: ~847 конфігурацій для 3σ, ~2353 для 5σ детекції сигналу δd = 10⁻³.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1. Вступ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Синтез CDT–CCDR ідентифікує C-фазу каузальних динамічних тріангуляцій з космологічним кристалом CCDR та виводить коефіцієнт біжучого вакууму ν ~ 10⁻³ з ефективної дії огрублення CDT. Основне тестоване передбачення (T1): потік спектральної вимірності d_s(σ) має демонструвати осциляторні поправки від кристалічної періодичності: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d_s(σ) = d_s^{smooth}(σ) + δd · cos(2πσ/σ_Pl) · e^{−σ/ξ_Pl}</w:t>
      </w:r>
      <w:r>
        <w:rPr>
          <w:rFonts w:ascii="Cambria" w:cs="Cambria" w:eastAsia="Cambria" w:hAnsi="Cambria"/>
          <w:sz w:val="22"/>
          <w:szCs w:val="22"/>
        </w:rPr>
        <w:t xml:space="preserve">    (1)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з δd ~ ν ~ 10⁻³. Ця стаття описує першу обчислювальну реалізацію та аналіз чутливості тесту T1.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2. Методи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2.1 2D CDT Монте-Карло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2D CDT на торі (S¹ × S¹), T = 16 часових зрізів. Дія Редже з фіксацією об'єму: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S = −κ₀ N₀ + λ N₂ + ε(N₂ − N₂^{target})²</w:t>
      </w:r>
      <w:r>
        <w:rPr>
          <w:rFonts w:ascii="Cambria" w:cs="Cambria" w:eastAsia="Cambria" w:hAnsi="Cambria"/>
          <w:sz w:val="22"/>
          <w:szCs w:val="22"/>
        </w:rPr>
        <w:t xml:space="preserve">    (2)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Параметри: κ₀ = 1.5, λ = 1.0, ε = 0.005, N₂^{target} = 700. Термалізація: 500 зачисток, 80 конфігурацій через 20 зачисток. Результат: ⟨N₀⟩ = 338.5 вершин, прийнятність 0.905. Об'ємний профіль ⟨s(t)⟩ демонструє характерну форму cos³(t/t₀) C-фази де Сіттера.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2.2 Спектральна вимірність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P(σ) = (1/N) Σ_i exp(−σλ_i)</w:t>
      </w:r>
      <w:r>
        <w:rPr>
          <w:rFonts w:ascii="Cambria" w:cs="Cambria" w:eastAsia="Cambria" w:hAnsi="Cambria"/>
          <w:sz w:val="22"/>
          <w:szCs w:val="22"/>
        </w:rPr>
        <w:t xml:space="preserve">    (3)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d_s(σ) = −2 d ln P(σ) / d ln σ</w:t>
      </w:r>
      <w:r>
        <w:rPr>
          <w:rFonts w:ascii="Cambria" w:cs="Cambria" w:eastAsia="Cambria" w:hAnsi="Cambria"/>
          <w:sz w:val="22"/>
          <w:szCs w:val="22"/>
        </w:rPr>
        <w:t xml:space="preserve">    (4)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Виміряний діапазон: d_s = 0.22 – 3.40. Середня статистична похибка на точку: δd_s = 0.0099.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2.3 Конвеєр аналізу T1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Крок 1: </w:t>
      </w:r>
      <w:r>
        <w:rPr>
          <w:rFonts w:ascii="Cambria" w:cs="Cambria" w:eastAsia="Cambria" w:hAnsi="Cambria"/>
          <w:sz w:val="22"/>
          <w:szCs w:val="22"/>
        </w:rPr>
        <w:t xml:space="preserve">Вилучення гладкого тренду згладжуючим сплайном.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Крок 2: </w:t>
      </w:r>
      <w:r>
        <w:rPr>
          <w:rFonts w:ascii="Cambria" w:cs="Cambria" w:eastAsia="Cambria" w:hAnsi="Cambria"/>
          <w:sz w:val="22"/>
          <w:szCs w:val="22"/>
        </w:rPr>
        <w:t xml:space="preserve">Обчислення залишків Δd(σ). СКВ залишків = 0.0097.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Крок 3: </w:t>
      </w:r>
      <w:r>
        <w:rPr>
          <w:rFonts w:ascii="Cambria" w:cs="Cambria" w:eastAsia="Cambria" w:hAnsi="Cambria"/>
          <w:sz w:val="22"/>
          <w:szCs w:val="22"/>
        </w:rPr>
        <w:t xml:space="preserve">Інтерполяція на рівномірну сітку (256 точок), віконна функція Ганна, ШПФ.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Крок 4: </w:t>
      </w:r>
      <w:r>
        <w:rPr>
          <w:rFonts w:ascii="Cambria" w:cs="Cambria" w:eastAsia="Cambria" w:hAnsi="Cambria"/>
          <w:sz w:val="22"/>
          <w:szCs w:val="22"/>
        </w:rPr>
        <w:t xml:space="preserve">Пошук піків та оцінка значущості.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2.4 Валідація інжекцією сигналу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d_s^{inj}(σ) = ⟨d_s(σ)⟩ + ν · cos(2π lnσ / lnσ_osc) · exp(−σ/ξ)</w:t>
      </w:r>
      <w:r>
        <w:rPr>
          <w:rFonts w:ascii="Cambria" w:cs="Cambria" w:eastAsia="Cambria" w:hAnsi="Cambria"/>
          <w:sz w:val="22"/>
          <w:szCs w:val="22"/>
        </w:rPr>
        <w:t xml:space="preserve">    (5)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Інжекція при ν = 10⁻³ (передбачена амплітуда) та ν = 10⁻² (калібрування).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3. Результати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3.1 Симуляція та спектральна вимірність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80 конфігурацій C-фази за 2.1 с. Об'ємний профіль підтверджує форму де Сіттера. d_s: чисте монотонне зростання від 0.2 до 3.4.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3.2 Залишковий аналіз без інжекції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СКВ залишків = 0.0097. Жодної візуально очевидної періодичної структури. Рівень шуму занадто високий для детекції δd = 10⁻³ з 80 конфігурацій — очікувано.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3.3 Тест інжекції сигналу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При δd = 10⁻³: СКВ зростає до 0.0098 (маргінально). При δd = 10⁻² (калібрування): сигнал чітко детектується, що валідує конвеєр.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3.4 Проєкція чутливості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SNR = δd · √N / σ_{residual} = 10⁻³ · √N / 0.0097</w:t>
      </w:r>
      <w:r>
        <w:rPr>
          <w:rFonts w:ascii="Cambria" w:cs="Cambria" w:eastAsia="Cambria" w:hAnsi="Cambria"/>
          <w:sz w:val="22"/>
          <w:szCs w:val="22"/>
        </w:rPr>
        <w:t xml:space="preserve">    (6)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N_{3σ} = (3 × 0.0097 / 10⁻³)² ≈ 847 конфігурацій</w:t>
      </w:r>
      <w:r>
        <w:rPr>
          <w:rFonts w:ascii="Cambria" w:cs="Cambria" w:eastAsia="Cambria" w:hAnsi="Cambria"/>
          <w:sz w:val="22"/>
          <w:szCs w:val="22"/>
        </w:rPr>
        <w:t xml:space="preserve">    (7)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N_{5σ} = (5 × 0.0097 / 10⁻³)² ≈ 2353 конфігурації</w:t>
      </w:r>
      <w:r>
        <w:rPr>
          <w:rFonts w:ascii="Cambria" w:cs="Cambria" w:eastAsia="Cambria" w:hAnsi="Cambria"/>
          <w:sz w:val="22"/>
          <w:szCs w:val="22"/>
        </w:rPr>
        <w:t xml:space="preserve">    (8)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Обидва порогові значення обчислювально доступні. У 2D CDT: ~70 секунд. У 4D CDT (CDT-plusplus): ~40–400 GPU-годин.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4. Діагностична фігура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Рисунок 1. Повна діагностика тесту T1: об'ємний профіль, потік спектральної вимірності, залишки, Фур’є-спектр, тест інжекції, проєкція чутливості.</w:t>
      </w:r>
    </w:p>
    <w:p>
      <w:pPr>
        <w:spacing w:before="100" w:after="200"/>
        <w:jc w:val="center"/>
      </w:pPr>
      <w:r>
        <w:drawing>
          <wp:inline distT="0" distB="0" distL="0" distR="0">
            <wp:extent cx="5905500" cy="738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38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5. Обговорення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5.1 Що демонструє цей тест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Передбачення T1 обчислювально тестоване з існуючою технологією. Конвеєр виконується за &lt;10 секунд та генерує кількісні проєкції чутливості.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5.2 Обмеження 2D тесту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(a) Потік d_s у 2D якісно відрізняється від 4D. (b) Тріангуляції малі (~338 вершин vs 10⁵–10⁶ симплексів у 4D). (c) 2D фазова діаграма простіша.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5.3 Шлях до визначального 4D тесту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1. Згенерувати ансамбль C-фази з CDT-plusplus при N₄ ~ 10⁵–10⁶.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2. Виміряти d_s(σ) для кожної конфігурації.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3. Експортувати у CSV.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4. Подати на вхід t1_fourier_analysis() з нашого конвеєра.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5. Порівняти δd_Pl з ν від DESI (двоточковий тест T3).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5.4 Двоточковий тест T3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δd_Pl = ν ± O(ν²)</w:t>
      </w:r>
      <w:r>
        <w:rPr>
          <w:rFonts w:ascii="Cambria" w:cs="Cambria" w:eastAsia="Cambria" w:hAnsi="Cambria"/>
          <w:sz w:val="22"/>
          <w:szCs w:val="22"/>
        </w:rPr>
        <w:t xml:space="preserve">    (9)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Якщо обидва виміряні з ~10% точністю і збігаються — перший емпіричний міст між ґратковою квантовою гравітацією та спостережувальною космологією.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6. Висновок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Ми реалізували та валідували перший обчислювальний конвеєр тесту T1 CDT–CCDR. Ключові результати: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Шум залишків: </w:t>
      </w:r>
      <w:r>
        <w:rPr>
          <w:rFonts w:ascii="Cambria" w:cs="Cambria" w:eastAsia="Cambria" w:hAnsi="Cambria"/>
          <w:sz w:val="22"/>
          <w:szCs w:val="22"/>
        </w:rPr>
        <w:t xml:space="preserve">σ = 0.0097 (80 конфігурацій, 2D CDT).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Поріг детекції: </w:t>
      </w:r>
      <w:r>
        <w:rPr>
          <w:rFonts w:ascii="Cambria" w:cs="Cambria" w:eastAsia="Cambria" w:hAnsi="Cambria"/>
          <w:sz w:val="22"/>
          <w:szCs w:val="22"/>
        </w:rPr>
        <w:t xml:space="preserve">~847 конфігурацій для 3σ, ~2353 для 5σ.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Обчислювальна вартість: </w:t>
      </w:r>
      <w:r>
        <w:rPr>
          <w:rFonts w:ascii="Cambria" w:cs="Cambria" w:eastAsia="Cambria" w:hAnsi="Cambria"/>
          <w:sz w:val="22"/>
          <w:szCs w:val="22"/>
        </w:rPr>
        <w:t xml:space="preserve">7.1 с (2D). ~40–400 GPU-годин (4D).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T1 фальсифіковне: відсутність осциляцій при &gt; 3σ після 2353+ конфігурацій 4D CDT фальсифікує CDT–CCDR.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Посилання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[1] </w:t>
      </w:r>
      <w:r>
        <w:rPr>
          <w:rFonts w:ascii="Cambria" w:cs="Cambria" w:eastAsia="Cambria" w:hAnsi="Cambria"/>
          <w:sz w:val="22"/>
          <w:szCs w:val="22"/>
        </w:rPr>
        <w:t xml:space="preserve">Ambjørn, Jurkiewicz &amp; Loll (2005). Phys. Rev. Lett. 95, 171301.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[2] </w:t>
      </w:r>
      <w:r>
        <w:rPr>
          <w:rFonts w:ascii="Cambria" w:cs="Cambria" w:eastAsia="Cambria" w:hAnsi="Cambria"/>
          <w:sz w:val="22"/>
          <w:szCs w:val="22"/>
        </w:rPr>
        <w:t xml:space="preserve">Ambjørn et al. (2012). Phys. Rep. 519, 127.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[3] </w:t>
      </w:r>
      <w:r>
        <w:rPr>
          <w:rFonts w:ascii="Cambria" w:cs="Cambria" w:eastAsia="Cambria" w:hAnsi="Cambria"/>
          <w:sz w:val="22"/>
          <w:szCs w:val="22"/>
        </w:rPr>
        <w:t xml:space="preserve">Getchell (2023). CDT-plusplus. github.com/acgetchell/CDT-plusplus.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[4] </w:t>
      </w:r>
      <w:r>
        <w:rPr>
          <w:rFonts w:ascii="Cambria" w:cs="Cambria" w:eastAsia="Cambria" w:hAnsi="Cambria"/>
          <w:sz w:val="22"/>
          <w:szCs w:val="22"/>
        </w:rPr>
        <w:t xml:space="preserve">Solà (2013). J. Phys. Conf. Ser. 453, 012015.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[6] </w:t>
      </w:r>
      <w:r>
        <w:rPr>
          <w:rFonts w:ascii="Cambria" w:cs="Cambria" w:eastAsia="Cambria" w:hAnsi="Cambria"/>
          <w:sz w:val="22"/>
          <w:szCs w:val="22"/>
        </w:rPr>
        <w:t xml:space="preserve">DESI Collaboration (2025). arXiv:2503.14738.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[7] </w:t>
      </w:r>
      <w:r>
        <w:rPr>
          <w:rFonts w:ascii="Cambria" w:cs="Cambria" w:eastAsia="Cambria" w:hAnsi="Cambria"/>
          <w:sz w:val="22"/>
          <w:szCs w:val="22"/>
        </w:rPr>
        <w:t xml:space="preserve">Watanabe &amp; Oshikawa (2015). Phys. Rev. Lett. 114, 251603.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Cambria" w:cs="Cambria" w:eastAsia="Cambria" w:hAnsi="Cambria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mbria" w:cs="Cambria" w:eastAsia="Cambria" w:hAnsi="Cambria"/>
      <w:b/>
      <w:bCs/>
      <w:i/>
      <w:i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24e957b29d0d74dfb1c8dda194f2c79dd0e488ae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2026-03-21T17:02:56.725Z</dcterms:created>
  <dcterms:modified xsi:type="dcterms:W3CDTF">2026-03-21T17:02:56.726Z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