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Практичні застосування CDT–CCDR–TN:</w:t>
      </w:r>
    </w:p>
    <w:p>
      <w:pPr>
        <w:spacing w:after="60"/>
        <w:jc w:val="center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Від фізики просторово-часового кристалу до інженерії</w:t>
      </w:r>
    </w:p>
    <w:p>
      <w:pPr>
        <w:spacing w:after="6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Квантові обчислення, термоядерні реактори, матеріали та електроніка</w:t>
      </w:r>
    </w:p>
    <w:p>
      <w:pPr>
        <w:spacing w:after="6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[Імена авторів приховані] · Березень 2026</w:t>
      </w:r>
    </w:p>
    <w:p>
      <w:pPr>
        <w:spacing w:after="200"/>
      </w:pP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Анотація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Ми ідентифікуємо чотири домени, де CDT–CCDR–TN генерує інженерні застосування за межами стандартної фізики. (1) Квантові обчислення: голографічний код із TN визначає архітектуру квантового виправлення помилок з кодовою відстанню від мінімальної поверхні RT. (2) Термоядерні реактори: межа КСС η/s = ħ/4πk_B дає безпараметрові передбачення транспорту плазмового краю. (3) Матеріали: розсіювання фононів на межах зерен CCDR (розроблене для MOND) застосовується до теплопровідності в полікристалічних матеріалах. (4) Електроніка: вимірність зв'язку D = e^{1/4} на планківській грані задає фундаментальну межу густини інформації. Шістнадцять кількісних передбачень.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Частина I: Квантові обчислення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1.1 Проблема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Декогеренція знищує квантову інформацію. Квантове виправлення помилок (QEC) захищає інформацію кодуванням логічних кубітів у багато фізичних. CDT–TN пропонує нову архітектуру QEC з голографічної структури простору-часу.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1.2 Голографічний код CDT–TN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(a) Кодова відстань від мінімальної поверхні RT: </w:t>
      </w:r>
      <w:r>
        <w:rPr>
          <w:rFonts w:ascii="Cambria" w:cs="Cambria" w:eastAsia="Cambria" w:hAnsi="Cambria"/>
          <w:sz w:val="22"/>
          <w:szCs w:val="22"/>
        </w:rPr>
        <w:t xml:space="preserve">d ~ N^{1/3} у 3D CDT тріангуляції. Для N = 10⁶: d ~ 100.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(b) Швидкість кодування: </w:t>
      </w:r>
      <w:r>
        <w:rPr>
          <w:rFonts w:ascii="Cambria" w:cs="Cambria" w:eastAsia="Cambria" w:hAnsi="Cambria"/>
          <w:sz w:val="22"/>
          <w:szCs w:val="22"/>
        </w:rPr>
        <w:t xml:space="preserve">k/n ~ N^{(1-D)/D}, низька але покращувана неоднорідним TN.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(c) Локальна виправність: </w:t>
      </w:r>
      <w:r>
        <w:rPr>
          <w:rFonts w:ascii="Cambria" w:cs="Cambria" w:eastAsia="Cambria" w:hAnsi="Cambria"/>
          <w:sz w:val="22"/>
          <w:szCs w:val="22"/>
        </w:rPr>
        <w:t xml:space="preserve">об'ємні оператори реконструюються з будь-якого підрегіону межі, чий клин заплутаності містить оператор.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1.3 Архітектура CDT-коду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Фізичні кубіти — на граничних гранях CDT. Логічні кубіти — в об'ємі. Кодувальна схема — згортання TN. Синдромне вимірювання — стабілізатори від RT. Декодер — MWPM на дуальному графі. Нерегулярна зв'язність CDT потенційно перевершує поверхневі коди.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1.4 Передбачення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QC1: </w:t>
      </w:r>
      <w:r>
        <w:rPr>
          <w:rFonts w:ascii="Cambria" w:cs="Cambria" w:eastAsia="Cambria" w:hAnsi="Cambria"/>
          <w:sz w:val="22"/>
          <w:szCs w:val="22"/>
        </w:rPr>
        <w:t xml:space="preserve">d ~ N^{1/3} vs N^{1/2} для поверхневих кодів.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QC2: </w:t>
      </w:r>
      <w:r>
        <w:rPr>
          <w:rFonts w:ascii="Cambria" w:cs="Cambria" w:eastAsia="Cambria" w:hAnsi="Cambria"/>
          <w:sz w:val="22"/>
          <w:szCs w:val="22"/>
        </w:rPr>
        <w:t xml:space="preserve">CDT-код перевершує поверхневий при N &gt; 10⁵.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QC3: </w:t>
      </w:r>
      <w:r>
        <w:rPr>
          <w:rFonts w:ascii="Cambria" w:cs="Cambria" w:eastAsia="Cambria" w:hAnsi="Cambria"/>
          <w:sz w:val="22"/>
          <w:szCs w:val="22"/>
        </w:rPr>
        <w:t xml:space="preserve">Порогова похибка p_th ~ 1%, потенційно вища для корельованого шуму.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QC4: </w:t>
      </w:r>
      <w:r>
        <w:rPr>
          <w:rFonts w:ascii="Cambria" w:cs="Cambria" w:eastAsia="Cambria" w:hAnsi="Cambria"/>
          <w:sz w:val="22"/>
          <w:szCs w:val="22"/>
        </w:rPr>
        <w:t xml:space="preserve">Перевага при пакетних помилках (burst errors).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Частина II: Термоядерні реактори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2.1 Проблема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Транспорт плазмового краю — аномальний: виміряні коефіцієнти перевищують неокласичні у 10–100 разів. Жодна теорія з перших принципів не передбачає крайовий транспорт.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2.2 Межа КСС як передбачення транспорту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Крайова плазма — вимірне зниження: 3D (об'ємна) → 1D (вздовж поля). Мінімальна в'язкість: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ν_edge ≥ ħ/(4π m_i) ≈ 1.7 × 10⁻³ м²/с для дейтерію</w:t>
      </w:r>
      <w:r>
        <w:rPr>
          <w:rFonts w:ascii="Cambria" w:cs="Cambria" w:eastAsia="Cambria" w:hAnsi="Cambria"/>
          <w:sz w:val="22"/>
          <w:szCs w:val="22"/>
        </w:rPr>
        <w:t xml:space="preserve">    (3)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Поточні токамаки: χ ~ 0.1–1 м²/с — у 100–1000 разів вище КСС підлоги. Є простір для покращення.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2.3 Наслідки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(a) </w:t>
      </w:r>
      <w:r>
        <w:rPr>
          <w:rFonts w:ascii="Cambria" w:cs="Cambria" w:eastAsia="Cambria" w:hAnsi="Cambria"/>
          <w:sz w:val="22"/>
          <w:szCs w:val="22"/>
        </w:rPr>
        <w:t xml:space="preserve">Фундаментальна підлога транспорту — жодна інженерія не може її подолати.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(b) </w:t>
      </w:r>
      <w:r>
        <w:rPr>
          <w:rFonts w:ascii="Cambria" w:cs="Cambria" w:eastAsia="Cambria" w:hAnsi="Cambria"/>
          <w:sz w:val="22"/>
          <w:szCs w:val="22"/>
        </w:rPr>
        <w:t xml:space="preserve">L–H перехід як перехід χ: L-мода = 3D турбулентність, H-мода = часткове вимірне зниження.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(c) </w:t>
      </w:r>
      <w:r>
        <w:rPr>
          <w:rFonts w:ascii="Cambria" w:cs="Cambria" w:eastAsia="Cambria" w:hAnsi="Cambria"/>
          <w:sz w:val="22"/>
          <w:szCs w:val="22"/>
        </w:rPr>
        <w:t xml:space="preserve">ELM = кристалічна дефектна релаксація на п'єдесталі H-моди.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2.4 Передбачення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FR1: </w:t>
      </w:r>
      <w:r>
        <w:rPr>
          <w:rFonts w:ascii="Cambria" w:cs="Cambria" w:eastAsia="Cambria" w:hAnsi="Cambria"/>
          <w:sz w:val="22"/>
          <w:szCs w:val="22"/>
        </w:rPr>
        <w:t xml:space="preserve">χ_min = 1.7 × 10⁻³ м²/с. FR2: P_ped ~ 5–20 кПа для ITER. FR3: E_ELM ~ P_ped × V × (ΔP/P)². FR4: немонотонна η/s від колізійності.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Частина III: Матеріали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3.1 Проблема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Межі зерен домінують у транспорті полікристалів. Стандартні моделі (опір Капиці) — феноменологічні. CCDR дає модель з перших принципів.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3.2 CCDR модель для матеріалів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κ(T) = κ₀(T) × μ(λ(T)/L_grain)</w:t>
      </w:r>
      <w:r>
        <w:rPr>
          <w:rFonts w:ascii="Cambria" w:cs="Cambria" w:eastAsia="Cambria" w:hAnsi="Cambria"/>
          <w:sz w:val="22"/>
          <w:szCs w:val="22"/>
        </w:rPr>
        <w:t xml:space="preserve">    (4)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де μ(x) = x/(1+x)^{1/2} — інтерполяційна функція CCDR. При високій T: κ → κ₀. При низькій T: κ ~ T^{1/2} × κ₀. Безпараметрове передбачення (L_grain вимірюється окремо).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3.3 Гексагональна симетрія меж зерен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T(θ) = cos²(θ/2) × [1 + ε · cos(6θ)]</w:t>
      </w:r>
      <w:r>
        <w:rPr>
          <w:rFonts w:ascii="Cambria" w:cs="Cambria" w:eastAsia="Cambria" w:hAnsi="Cambria"/>
          <w:sz w:val="22"/>
          <w:szCs w:val="22"/>
        </w:rPr>
        <w:t xml:space="preserve">    (5)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cos(6θ) — відбиток гексагональної симетрії, відсутній у стандартних моделях. Передбачає аномально високу фононну трансмісію при θ = 30°.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3.4 Передбачення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MAT1: </w:t>
      </w:r>
      <w:r>
        <w:rPr>
          <w:rFonts w:ascii="Cambria" w:cs="Cambria" w:eastAsia="Cambria" w:hAnsi="Cambria"/>
          <w:sz w:val="22"/>
          <w:szCs w:val="22"/>
        </w:rPr>
        <w:t xml:space="preserve">κ(T) з інтерполяційною функцією, різниця 5–15% від Казімірної моделі.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MAT2: </w:t>
      </w:r>
      <w:r>
        <w:rPr>
          <w:rFonts w:ascii="Cambria" w:cs="Cambria" w:eastAsia="Cambria" w:hAnsi="Cambria"/>
          <w:sz w:val="22"/>
          <w:szCs w:val="22"/>
        </w:rPr>
        <w:t xml:space="preserve">cos(6θ) кутова залежність трансмісії.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MAT3: </w:t>
      </w:r>
      <w:r>
        <w:rPr>
          <w:rFonts w:ascii="Cambria" w:cs="Cambria" w:eastAsia="Cambria" w:hAnsi="Cambria"/>
          <w:sz w:val="22"/>
          <w:szCs w:val="22"/>
        </w:rPr>
        <w:t xml:space="preserve">κ ~ T^{1/2} у нанокристалічних матеріалах при низькій T.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MAT4: </w:t>
      </w:r>
      <w:r>
        <w:rPr>
          <w:rFonts w:ascii="Cambria" w:cs="Cambria" w:eastAsia="Cambria" w:hAnsi="Cambria"/>
          <w:sz w:val="22"/>
          <w:szCs w:val="22"/>
        </w:rPr>
        <w:t xml:space="preserve">ZT покращення ~20% у Bi₂Te₃ з контрольованими кутами межі зерен.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Частина IV: Електроніка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4.1 Проблема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Закон Мура наближається до фізичних меж. Межа Ландауера (k_BT ln 2 на біт). Межа Бекенштайна (S ≤ 2πER/ħc). CDT–TN дає жорсткішу межу.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4.2 CDT межа густини інформації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I_practical = L² / (4l²_pl) — площинна, не об'ємна</w:t>
      </w:r>
      <w:r>
        <w:rPr>
          <w:rFonts w:ascii="Cambria" w:cs="Cambria" w:eastAsia="Cambria" w:hAnsi="Cambria"/>
          <w:sz w:val="22"/>
          <w:szCs w:val="22"/>
        </w:rPr>
        <w:t xml:space="preserve">    (7)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Голографічний принцип у дії. Для 1 см²: I_max ~ 10⁶⁴ бітів. Перехід від об'ємного до площинного масштабування при: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L_crossover ~ l_mfp × (k_BT/E_gap) ~ 10–100 нм для Si</w:t>
      </w:r>
      <w:r>
        <w:rPr>
          <w:rFonts w:ascii="Cambria" w:cs="Cambria" w:eastAsia="Cambria" w:hAnsi="Cambria"/>
          <w:sz w:val="22"/>
          <w:szCs w:val="22"/>
        </w:rPr>
        <w:t xml:space="preserve">    (9)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4.3 Наслідки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(a) </w:t>
      </w:r>
      <w:r>
        <w:rPr>
          <w:rFonts w:ascii="Cambria" w:cs="Cambria" w:eastAsia="Cambria" w:hAnsi="Cambria"/>
          <w:sz w:val="22"/>
          <w:szCs w:val="22"/>
        </w:rPr>
        <w:t xml:space="preserve">3D чіпи: пропускна здатність масштабується з площею міжшарових інтерфейсів, не з об'ємом.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(b) </w:t>
      </w:r>
      <w:r>
        <w:rPr>
          <w:rFonts w:ascii="Cambria" w:cs="Cambria" w:eastAsia="Cambria" w:hAnsi="Cambria"/>
          <w:sz w:val="22"/>
          <w:szCs w:val="22"/>
        </w:rPr>
        <w:t xml:space="preserve">CDT-топологічна пам'ять: об'ємне TN-кодування з прикордонною перевіркою парності, d ~ N^{1/3}.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(c) </w:t>
      </w:r>
      <w:r>
        <w:rPr>
          <w:rFonts w:ascii="Cambria" w:cs="Cambria" w:eastAsia="Cambria" w:hAnsi="Cambria"/>
          <w:sz w:val="22"/>
          <w:szCs w:val="22"/>
        </w:rPr>
        <w:t xml:space="preserve">Модифікація межі Ландауера: зв'язок обчислень з осциляцією часового кристалу вакууму — спекулятивно, але визначає конкретний фізичний механізм.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4.4 Передбачення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EL1: </w:t>
      </w:r>
      <w:r>
        <w:rPr>
          <w:rFonts w:ascii="Cambria" w:cs="Cambria" w:eastAsia="Cambria" w:hAnsi="Cambria"/>
          <w:sz w:val="22"/>
          <w:szCs w:val="22"/>
        </w:rPr>
        <w:t xml:space="preserve">3D чіпи масштабуються з площею, не об'ємом.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EL2: </w:t>
      </w:r>
      <w:r>
        <w:rPr>
          <w:rFonts w:ascii="Cambria" w:cs="Cambria" w:eastAsia="Cambria" w:hAnsi="Cambria"/>
          <w:sz w:val="22"/>
          <w:szCs w:val="22"/>
        </w:rPr>
        <w:t xml:space="preserve">CDT ECC: захист від пакетних помилок ~ N^{1/3}.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EL3: </w:t>
      </w:r>
      <w:r>
        <w:rPr>
          <w:rFonts w:ascii="Cambria" w:cs="Cambria" w:eastAsia="Cambria" w:hAnsi="Cambria"/>
          <w:sz w:val="22"/>
          <w:szCs w:val="22"/>
        </w:rPr>
        <w:t xml:space="preserve">Перехід площа/об'єм при L ~ 10–100 нм.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EL4: </w:t>
      </w:r>
      <w:r>
        <w:rPr>
          <w:rFonts w:ascii="Cambria" w:cs="Cambria" w:eastAsia="Cambria" w:hAnsi="Cambria"/>
          <w:sz w:val="22"/>
          <w:szCs w:val="22"/>
        </w:rPr>
        <w:t xml:space="preserve">CDT код перевершує поверхневий при &gt; 10⁵ кубітів для корельованого шуму.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5. Оцінка здійсненності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Найближча (1–3 роки): </w:t>
      </w:r>
      <w:r>
        <w:rPr>
          <w:rFonts w:ascii="Cambria" w:cs="Cambria" w:eastAsia="Cambria" w:hAnsi="Cambria"/>
          <w:sz w:val="22"/>
          <w:szCs w:val="22"/>
        </w:rPr>
        <w:t xml:space="preserve">QC1–QC4 (QEC симуляція), MAT1–MAT3 (кріогенні вимірювання), EL1–EL2 (існуючі дані та симулятори).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Середня (3–10 років): </w:t>
      </w:r>
      <w:r>
        <w:rPr>
          <w:rFonts w:ascii="Cambria" w:cs="Cambria" w:eastAsia="Cambria" w:hAnsi="Cambria"/>
          <w:sz w:val="22"/>
          <w:szCs w:val="22"/>
        </w:rPr>
        <w:t xml:space="preserve">CDT-код на процесорі ~1000 кубітів, MAT4 (синтез), FR1–FR3 (ITER).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Довга (&gt;10 років): </w:t>
      </w:r>
      <w:r>
        <w:rPr>
          <w:rFonts w:ascii="Cambria" w:cs="Cambria" w:eastAsia="Cambria" w:hAnsi="Cambria"/>
          <w:sz w:val="22"/>
          <w:szCs w:val="22"/>
        </w:rPr>
        <w:t xml:space="preserve">Модифікація Ландауера.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6. Висновок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16 кількісних передбачень у 4 інженерних доменах. Найбільш доступні: QEC симуляція (зараз), теплопровідність (зараз), масштабування 3D чіпів (існуючі дані). Найбільш впливове: безпараметровий транспорт крайової плазми (FR1–FR3). Принцип: інформація, геометрія та транспорт пов'язані через кристалографічну структуру простору-часу.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Посилання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[1] ADH (2015). [2] KSS (2005). [3] CDT (2005). [4] RT (2006). [5] Landauer (1961). [6] Bekenstein (1981). [8] Fowler (2012). [9] Wagner (2007). [10] Cahill (2014).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Cambria" w:cs="Cambria" w:eastAsia="Cambria" w:hAnsi="Cambria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mbria" w:cs="Cambria" w:eastAsia="Cambria" w:hAnsi="Cambria"/>
      <w:b/>
      <w:bCs/>
      <w:i/>
      <w:i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2026-03-26T07:33:00.054Z</dcterms:created>
  <dcterms:modified xsi:type="dcterms:W3CDTF">2026-03-26T07:33:00.055Z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