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rFonts w:ascii="Cambria" w:cs="Cambria" w:eastAsia="Cambria" w:hAnsi="Cambria"/>
          <w:b/>
          <w:bCs/>
          <w:sz w:val="30"/>
          <w:szCs w:val="30"/>
        </w:rPr>
        <w:t xml:space="preserve">CDT–CCDR–TN Engineering:</w:t>
      </w:r>
    </w:p>
    <w:p>
      <w:pPr>
        <w:spacing w:after="50"/>
        <w:jc w:val="center"/>
      </w:pPr>
      <w:r>
        <w:rPr>
          <w:rFonts w:ascii="Cambria" w:cs="Cambria" w:eastAsia="Cambria" w:hAnsi="Cambria"/>
          <w:b/>
          <w:bCs/>
          <w:sz w:val="30"/>
          <w:szCs w:val="30"/>
        </w:rPr>
        <w:t xml:space="preserve">Practical Applications of Spacetime Crystal Physics</w:t>
      </w:r>
    </w:p>
    <w:p>
      <w:pPr>
        <w:spacing w:after="30"/>
      </w:pPr>
    </w:p>
    <w:p>
      <w:pPr>
        <w:spacing w:after="50"/>
        <w:jc w:val="center"/>
      </w:pPr>
      <w:r>
        <w:rPr>
          <w:rFonts w:ascii="Cambria" w:cs="Cambria" w:eastAsia="Cambria" w:hAnsi="Cambria"/>
          <w:i/>
          <w:iCs/>
          <w:sz w:val="21"/>
          <w:szCs w:val="21"/>
        </w:rPr>
        <w:t xml:space="preserve">Fusion Reactors · Quantum Computers · Advanced Materials · Electronics</w:t>
      </w:r>
    </w:p>
    <w:p>
      <w:pPr>
        <w:spacing w:after="50"/>
        <w:jc w:val="center"/>
      </w:pPr>
      <w:r>
        <w:rPr>
          <w:rFonts w:ascii="Cambria" w:cs="Cambria" w:eastAsia="Cambria" w:hAnsi="Cambria"/>
          <w:i/>
          <w:iCs/>
          <w:sz w:val="21"/>
          <w:szCs w:val="21"/>
        </w:rPr>
        <w:t xml:space="preserve">Extended Edition with Detailed Design Protocols and Material Specifications</w:t>
      </w:r>
    </w:p>
    <w:p>
      <w:pPr>
        <w:spacing w:after="50"/>
        <w:jc w:val="center"/>
      </w:pPr>
      <w:r>
        <w:rPr>
          <w:rFonts w:ascii="Cambria" w:cs="Cambria" w:eastAsia="Cambria" w:hAnsi="Cambria"/>
          <w:i/>
          <w:iCs/>
          <w:sz w:val="21"/>
          <w:szCs w:val="21"/>
        </w:rPr>
        <w:t xml:space="preserve">[Author names withheld] · March 2026</w:t>
      </w:r>
    </w:p>
    <w:p>
      <w:pPr>
        <w:spacing w:after="40"/>
      </w:pPr>
    </w:p>
    <w:p>
      <w:pPr>
        <w:spacing w:after="90" w:line="260"/>
        <w:jc w:val="both"/>
      </w:pPr>
      <w:r>
        <w:rPr>
          <w:rFonts w:ascii="Cambria" w:cs="Cambria" w:eastAsia="Cambria" w:hAnsi="Cambria"/>
          <w:b/>
          <w:bCs/>
          <w:sz w:val="21"/>
          <w:szCs w:val="21"/>
        </w:rPr>
        <w:t xml:space="preserve">Keywords: </w:t>
      </w:r>
      <w:r>
        <w:rPr>
          <w:rFonts w:ascii="Cambria" w:cs="Cambria" w:eastAsia="Cambria" w:hAnsi="Cambria"/>
          <w:i/>
          <w:iCs/>
          <w:sz w:val="21"/>
          <w:szCs w:val="21"/>
        </w:rPr>
        <w:t xml:space="preserve">KSS bound; phononic crystal; quantum error correction; holographic code; magnetic helicity; ELM suppression; Kibble-Zurek; grain boundary engineering; skyrmion; dark-sector qubit; time crystal qubit; thermal conductivity; Landauer limit; tensor network code; CDT; CCDR</w:t>
      </w:r>
    </w:p>
    <w:p>
      <w:pPr>
        <w:spacing w:after="180"/>
      </w:pPr>
    </w:p>
    <w:p>
      <w:pPr>
        <w:pStyle w:val="Heading1"/>
        <w:spacing w:before="300" w:after="150"/>
      </w:pPr>
      <w:r>
        <w:rPr>
          <w:rFonts w:ascii="Cambria" w:cs="Cambria" w:eastAsia="Cambria" w:hAnsi="Cambria"/>
          <w:b/>
          <w:bCs/>
          <w:sz w:val="26"/>
          <w:szCs w:val="26"/>
        </w:rPr>
        <w:t xml:space="preserve">Executive Summary</w:t>
      </w:r>
    </w:p>
    <w:p>
      <w:pPr>
        <w:spacing w:after="90" w:line="260"/>
        <w:jc w:val="both"/>
      </w:pPr>
      <w:r>
        <w:rPr>
          <w:rFonts w:ascii="Cambria" w:cs="Cambria" w:eastAsia="Cambria" w:hAnsi="Cambria"/>
          <w:sz w:val="21"/>
          <w:szCs w:val="21"/>
        </w:rPr>
        <w:t xml:space="preserve">Crystallographic cosmology from dimensional reduction (CDT–CCDR–TN) identifies the universe as a 3+1-dimensional spacetime crystal with emergent holographic structure. Within this framework, visible matter is the acoustic phonon sector, dark matter is the orthogonal optical phonon sector, and every material crystal is a local realisation of this universal structure. The holographic tensor network that emerges from CDT defines a quantum error-correcting code whose code distance is set by the Ryu–Takayanagi minimal surface.</w:t>
      </w:r>
    </w:p>
    <w:p>
      <w:pPr>
        <w:spacing w:after="90" w:line="260"/>
        <w:jc w:val="both"/>
      </w:pPr>
      <w:r>
        <w:rPr>
          <w:rFonts w:ascii="Cambria" w:cs="Cambria" w:eastAsia="Cambria" w:hAnsi="Cambria"/>
          <w:sz w:val="21"/>
          <w:szCs w:val="21"/>
        </w:rPr>
        <w:t xml:space="preserve">This article translates CDT–CCDR–TN into engineering practice across four domains. The unified design principle: </w:t>
      </w:r>
      <w:r>
        <w:rPr>
          <w:rFonts w:ascii="Cambria" w:cs="Cambria" w:eastAsia="Cambria" w:hAnsi="Cambria"/>
          <w:b/>
          <w:bCs/>
          <w:sz w:val="21"/>
          <w:szCs w:val="21"/>
        </w:rPr>
        <w:t xml:space="preserve">engineer at the boundary between the acoustic and optical phonon sectors</w:t>
      </w:r>
      <w:r>
        <w:rPr>
          <w:rFonts w:ascii="Cambria" w:cs="Cambria" w:eastAsia="Cambria" w:hAnsi="Cambria"/>
          <w:sz w:val="21"/>
          <w:szCs w:val="21"/>
        </w:rPr>
        <w:t xml:space="preserve">, where viscosity is minimised (KSS bound), decoherence is suppressed (phonon orthogonality), thermal transport is maximised (minimum intermode scattering), and information is protected (holographic encoding). Thirty-two quantitative predictions span near-term (testable now) to long-term (20+ years).</w:t>
      </w:r>
    </w:p>
    <w:p>
      <w:pPr>
        <w:pStyle w:val="Heading1"/>
        <w:spacing w:before="300" w:after="150"/>
      </w:pPr>
      <w:r>
        <w:rPr>
          <w:rFonts w:ascii="Cambria" w:cs="Cambria" w:eastAsia="Cambria" w:hAnsi="Cambria"/>
          <w:b/>
          <w:bCs/>
          <w:sz w:val="26"/>
          <w:szCs w:val="26"/>
        </w:rPr>
        <w:t xml:space="preserve">Part I: Fusion Reactor Design</w:t>
      </w:r>
    </w:p>
    <w:p>
      <w:pPr>
        <w:pStyle w:val="Heading2"/>
        <w:spacing w:before="220" w:after="110"/>
      </w:pPr>
      <w:r>
        <w:rPr>
          <w:rFonts w:ascii="Cambria" w:cs="Cambria" w:eastAsia="Cambria" w:hAnsi="Cambria"/>
          <w:b/>
          <w:bCs/>
          <w:i/>
          <w:iCs/>
          <w:sz w:val="23"/>
          <w:szCs w:val="23"/>
        </w:rPr>
        <w:t xml:space="preserve">1.1 Theoretical Foundation: KSS Bound and Dimensional Phase Boundaries</w:t>
      </w:r>
    </w:p>
    <w:p>
      <w:pPr>
        <w:spacing w:after="90" w:line="260"/>
        <w:jc w:val="both"/>
      </w:pPr>
      <w:r>
        <w:rPr>
          <w:rFonts w:ascii="Cambria" w:cs="Cambria" w:eastAsia="Cambria" w:hAnsi="Cambria"/>
          <w:sz w:val="21"/>
          <w:szCs w:val="21"/>
        </w:rPr>
        <w:t xml:space="preserve">The Kovtun–Son–Starinets (KSS) bound is the universal minimum viscosity of any system near a dimensional phase boundary:</w:t>
      </w:r>
    </w:p>
    <w:p>
      <w:pPr>
        <w:spacing w:before="120" w:after="120"/>
        <w:ind w:left="480"/>
      </w:pPr>
      <w:r>
        <w:rPr>
          <w:rFonts w:ascii="Cambria Math" w:cs="Cambria Math" w:eastAsia="Cambria Math" w:hAnsi="Cambria Math"/>
          <w:i/>
          <w:iCs/>
          <w:sz w:val="21"/>
          <w:szCs w:val="21"/>
        </w:rPr>
        <w:t xml:space="preserve">η/s = ħ/(4πk_B) ≈ 6.08 × 10⁻¹³ Pa·s·m³/J</w:t>
      </w:r>
      <w:r>
        <w:rPr>
          <w:rFonts w:ascii="Cambria" w:cs="Cambria" w:eastAsia="Cambria" w:hAnsi="Cambria"/>
          <w:sz w:val="21"/>
          <w:szCs w:val="21"/>
        </w:rPr>
        <w:t xml:space="preserve">    (1)</w:t>
      </w:r>
    </w:p>
    <w:p>
      <w:pPr>
        <w:spacing w:after="90" w:line="260"/>
        <w:jc w:val="both"/>
      </w:pPr>
      <w:r>
        <w:rPr>
          <w:rFonts w:ascii="Cambria" w:cs="Cambria" w:eastAsia="Cambria" w:hAnsi="Cambria"/>
          <w:sz w:val="21"/>
          <w:szCs w:val="21"/>
        </w:rPr>
        <w:t xml:space="preserve">Saturated by the quark-gluon plasma at RHIC/LHC. In CDT–CCDR, this is because the QGP is a partial dimensional reduction — a system at the holographic limit. The same bound applies to any system approaching a dimensional boundary. Fusion plasma at the magnetic separatrix undergoes effective dimensional reduction: 3D (bulk) → 1D (field-aligned), making the edge a dimensional phase boundary where KSS applies.</w:t>
      </w:r>
    </w:p>
    <w:p>
      <w:pPr>
        <w:spacing w:after="90" w:line="260"/>
        <w:jc w:val="both"/>
      </w:pPr>
      <w:r>
        <w:rPr>
          <w:rFonts w:ascii="Cambria" w:cs="Cambria" w:eastAsia="Cambria" w:hAnsi="Cambria"/>
          <w:sz w:val="21"/>
          <w:szCs w:val="21"/>
        </w:rPr>
        <w:t xml:space="preserve">Current tokamak edge viscosity: ~10⁻⁶ Pa·s — </w:t>
      </w:r>
      <w:r>
        <w:rPr>
          <w:rFonts w:ascii="Cambria" w:cs="Cambria" w:eastAsia="Cambria" w:hAnsi="Cambria"/>
          <w:b/>
          <w:bCs/>
          <w:sz w:val="21"/>
          <w:szCs w:val="21"/>
        </w:rPr>
        <w:t xml:space="preserve">six orders of magnitude above the KSS bound</w:t>
      </w:r>
      <w:r>
        <w:rPr>
          <w:rFonts w:ascii="Cambria" w:cs="Cambria" w:eastAsia="Cambria" w:hAnsi="Cambria"/>
          <w:sz w:val="21"/>
          <w:szCs w:val="21"/>
        </w:rPr>
        <w:t xml:space="preserve">. The KSS margin M_KSS = η_measured/η_KSS is a new dimensionless figure of merit for confinement quality. ITER aims for M_KSS ~ 10³; a perfect-fluid plasma would have M_KSS = 1.</w:t>
      </w:r>
    </w:p>
    <w:p>
      <w:pPr>
        <w:pStyle w:val="Heading2"/>
        <w:spacing w:before="220" w:after="110"/>
      </w:pPr>
      <w:r>
        <w:rPr>
          <w:rFonts w:ascii="Cambria" w:cs="Cambria" w:eastAsia="Cambria" w:hAnsi="Cambria"/>
          <w:b/>
          <w:bCs/>
          <w:i/>
          <w:iCs/>
          <w:sz w:val="23"/>
          <w:szCs w:val="23"/>
        </w:rPr>
        <w:t xml:space="preserve">1.2 Application: Phonon Mode Engineering for Confinement</w:t>
      </w:r>
    </w:p>
    <w:p>
      <w:pPr>
        <w:spacing w:after="90" w:line="260"/>
        <w:jc w:val="both"/>
      </w:pPr>
      <w:r>
        <w:rPr>
          <w:rFonts w:ascii="Cambria" w:cs="Cambria" w:eastAsia="Cambria" w:hAnsi="Cambria"/>
          <w:sz w:val="21"/>
          <w:szCs w:val="21"/>
        </w:rPr>
        <w:t xml:space="preserve">In CDT–CCDR, drift-wave turbulence, Kelvin–Helmholtz instability, and Rayleigh–Taylor modes are acoustic phonon intermode mixing events. Engineering implication: impose spatial periodicity commensurate with dominant instability wavelengths to create a phononic bandgap.</w:t>
      </w:r>
    </w:p>
    <w:p>
      <w:pPr>
        <w:spacing w:after="90" w:line="260"/>
        <w:jc w:val="both"/>
      </w:pPr>
      <w:r>
        <w:rPr>
          <w:rFonts w:ascii="Cambria" w:cs="Cambria" w:eastAsia="Cambria" w:hAnsi="Cambria"/>
          <w:b/>
          <w:bCs/>
          <w:sz w:val="21"/>
          <w:szCs w:val="21"/>
        </w:rPr>
        <w:t xml:space="preserve">Design protocol:</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Measure dominant instability wavelength λ_inst via reflectometry or phase contrast imaging.</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Design periodic wall tiles or magnetic perturbation coils with period commensurate with λ_inst.</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Phononic bandgap condition: k_modulation = π/λ_inst (first Brillouin zone boundary at instability wavevector).</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For ITER-scale: λ_inst ~ 2–5 cm for ion-temperature-gradient modes → wall tile modulation period 2–5 cm.</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For drift waves: λ ~ 1–10 cm → modulated RMP coils with 1–10 cm spatial harmonics.</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Validate by measuring turbulent power spectrum reduction at target wavelength.</w:t>
      </w:r>
    </w:p>
    <w:p>
      <w:pPr>
        <w:pStyle w:val="Heading2"/>
        <w:spacing w:before="220" w:after="110"/>
      </w:pPr>
      <w:r>
        <w:rPr>
          <w:rFonts w:ascii="Cambria" w:cs="Cambria" w:eastAsia="Cambria" w:hAnsi="Cambria"/>
          <w:b/>
          <w:bCs/>
          <w:i/>
          <w:iCs/>
          <w:sz w:val="23"/>
          <w:szCs w:val="23"/>
        </w:rPr>
        <w:t xml:space="preserve">1.3 Application: KSS Bound as Quantitative Confinement Target</w:t>
      </w:r>
    </w:p>
    <w:p>
      <w:pPr>
        <w:spacing w:after="90" w:line="260"/>
        <w:jc w:val="both"/>
      </w:pPr>
      <w:r>
        <w:rPr>
          <w:rFonts w:ascii="Cambria" w:cs="Cambria" w:eastAsia="Cambria" w:hAnsi="Cambria"/>
          <w:sz w:val="21"/>
          <w:szCs w:val="21"/>
        </w:rPr>
        <w:t xml:space="preserve">For fusion-relevant density n ~ 10²⁰ m⁻³:</w:t>
      </w:r>
    </w:p>
    <w:p>
      <w:pPr>
        <w:spacing w:before="120" w:after="120"/>
        <w:ind w:left="480"/>
      </w:pPr>
      <w:r>
        <w:rPr>
          <w:rFonts w:ascii="Cambria Math" w:cs="Cambria Math" w:eastAsia="Cambria Math" w:hAnsi="Cambria Math"/>
          <w:i/>
          <w:iCs/>
          <w:sz w:val="21"/>
          <w:szCs w:val="21"/>
        </w:rPr>
        <w:t xml:space="preserve">η_KSS = (ħ/4π) × n × k_B ~ 10⁻¹² Pa·s</w:t>
      </w:r>
      <w:r>
        <w:rPr>
          <w:rFonts w:ascii="Cambria" w:cs="Cambria" w:eastAsia="Cambria" w:hAnsi="Cambria"/>
          <w:sz w:val="21"/>
          <w:szCs w:val="21"/>
        </w:rPr>
        <w:t xml:space="preserve">    (2)</w:t>
      </w:r>
    </w:p>
    <w:p>
      <w:pPr>
        <w:spacing w:after="90" w:line="260"/>
        <w:jc w:val="both"/>
      </w:pPr>
      <w:r>
        <w:rPr>
          <w:rFonts w:ascii="Cambria" w:cs="Cambria" w:eastAsia="Cambria" w:hAnsi="Cambria"/>
          <w:b/>
          <w:bCs/>
          <w:sz w:val="21"/>
          <w:szCs w:val="21"/>
        </w:rPr>
        <w:t xml:space="preserve">Every plasma heating, shaping, and fuelling decision should be evaluated against its effect on M_KSS.</w:t>
      </w:r>
      <w:r>
        <w:rPr>
          <w:rFonts w:ascii="Cambria" w:cs="Cambria" w:eastAsia="Cambria" w:hAnsi="Cambria"/>
          <w:sz w:val="21"/>
          <w:szCs w:val="21"/>
        </w:rPr>
        <w:t xml:space="preserve"> Report edge η/s as multiples of the KSS bound for direct comparison with QGP results.</w:t>
      </w:r>
    </w:p>
    <w:p>
      <w:pPr>
        <w:spacing w:after="90" w:line="260"/>
        <w:jc w:val="both"/>
      </w:pPr>
      <w:r>
        <w:rPr>
          <w:rFonts w:ascii="Cambria" w:cs="Cambria" w:eastAsia="Cambria" w:hAnsi="Cambria"/>
          <w:sz w:val="21"/>
          <w:szCs w:val="21"/>
        </w:rPr>
        <w:t xml:space="preserve">The CCDR minimum edge diffusivity:</w:t>
      </w:r>
    </w:p>
    <w:p>
      <w:pPr>
        <w:spacing w:before="120" w:after="120"/>
        <w:ind w:left="480"/>
      </w:pPr>
      <w:r>
        <w:rPr>
          <w:rFonts w:ascii="Cambria Math" w:cs="Cambria Math" w:eastAsia="Cambria Math" w:hAnsi="Cambria Math"/>
          <w:i/>
          <w:iCs/>
          <w:sz w:val="21"/>
          <w:szCs w:val="21"/>
        </w:rPr>
        <w:t xml:space="preserve">χ_min = ħ/(4π m_i) ≈ 1.7 × 10⁻³ m²/s for deuterium</w:t>
      </w:r>
      <w:r>
        <w:rPr>
          <w:rFonts w:ascii="Cambria" w:cs="Cambria" w:eastAsia="Cambria" w:hAnsi="Cambria"/>
          <w:sz w:val="21"/>
          <w:szCs w:val="21"/>
        </w:rPr>
        <w:t xml:space="preserve">    (3)</w:t>
      </w:r>
    </w:p>
    <w:p>
      <w:pPr>
        <w:spacing w:after="90" w:line="260"/>
        <w:jc w:val="both"/>
      </w:pPr>
      <w:r>
        <w:rPr>
          <w:rFonts w:ascii="Cambria" w:cs="Cambria" w:eastAsia="Cambria" w:hAnsi="Cambria"/>
          <w:sz w:val="21"/>
          <w:szCs w:val="21"/>
        </w:rPr>
        <w:t xml:space="preserve">Current tokamak χ ~ 0.1–1 m²/s — room for </w:t>
      </w:r>
      <w:r>
        <w:rPr>
          <w:rFonts w:ascii="Cambria" w:cs="Cambria" w:eastAsia="Cambria" w:hAnsi="Cambria"/>
          <w:b/>
          <w:bCs/>
          <w:sz w:val="21"/>
          <w:szCs w:val="21"/>
        </w:rPr>
        <w:t xml:space="preserve">100–1000× improvement</w:t>
      </w:r>
      <w:r>
        <w:rPr>
          <w:rFonts w:ascii="Cambria" w:cs="Cambria" w:eastAsia="Cambria" w:hAnsi="Cambria"/>
          <w:sz w:val="21"/>
          <w:szCs w:val="21"/>
        </w:rPr>
        <w:t xml:space="preserve">.</w:t>
      </w:r>
    </w:p>
    <w:p>
      <w:pPr>
        <w:pStyle w:val="Heading2"/>
        <w:spacing w:before="220" w:after="110"/>
      </w:pPr>
      <w:r>
        <w:rPr>
          <w:rFonts w:ascii="Cambria" w:cs="Cambria" w:eastAsia="Cambria" w:hAnsi="Cambria"/>
          <w:b/>
          <w:bCs/>
          <w:i/>
          <w:iCs/>
          <w:sz w:val="23"/>
          <w:szCs w:val="23"/>
        </w:rPr>
        <w:t xml:space="preserve">1.4 Application: ELM Suppression via Magnetic Helicity Control</w:t>
      </w:r>
    </w:p>
    <w:p>
      <w:pPr>
        <w:spacing w:after="90" w:line="260"/>
        <w:jc w:val="both"/>
      </w:pPr>
      <w:r>
        <w:rPr>
          <w:rFonts w:ascii="Cambria" w:cs="Cambria" w:eastAsia="Cambria" w:hAnsi="Cambria"/>
          <w:sz w:val="21"/>
          <w:szCs w:val="21"/>
        </w:rPr>
        <w:t xml:space="preserve">Edge-localised modes are, in CCDR, optical phonon modes pinned at the separatrix — direct analogues of ball lightning. ELM nucleation requires non-zero magnetic helicity:</w:t>
      </w:r>
    </w:p>
    <w:p>
      <w:pPr>
        <w:spacing w:before="120" w:after="120"/>
        <w:ind w:left="480"/>
      </w:pPr>
      <w:r>
        <w:rPr>
          <w:rFonts w:ascii="Cambria Math" w:cs="Cambria Math" w:eastAsia="Cambria Math" w:hAnsi="Cambria Math"/>
          <w:i/>
          <w:iCs/>
          <w:sz w:val="21"/>
          <w:szCs w:val="21"/>
        </w:rPr>
        <w:t xml:space="preserve">H_mag = ∫ A · B d³x ≠ 0 (ELM nucleation condition)</w:t>
      </w:r>
      <w:r>
        <w:rPr>
          <w:rFonts w:ascii="Cambria" w:cs="Cambria" w:eastAsia="Cambria" w:hAnsi="Cambria"/>
          <w:sz w:val="21"/>
          <w:szCs w:val="21"/>
        </w:rPr>
        <w:t xml:space="preserve">    (4)</w:t>
      </w:r>
    </w:p>
    <w:p>
      <w:pPr>
        <w:spacing w:after="90" w:line="260"/>
        <w:jc w:val="both"/>
      </w:pPr>
      <w:r>
        <w:rPr>
          <w:rFonts w:ascii="Cambria" w:cs="Cambria" w:eastAsia="Cambria" w:hAnsi="Cambria"/>
          <w:b/>
          <w:bCs/>
          <w:sz w:val="21"/>
          <w:szCs w:val="21"/>
        </w:rPr>
        <w:t xml:space="preserve">RMP optimisation protocol:</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Compute H_mag in the separatrix layer as function of RMP coil current and geometry.</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Optimise coil configuration to minimise |H_mag| at separatrix, subject to pressure gradient constraints.</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ELM-free condition: H_mag → 0. In practice, reduction by 10–100× should dramatically reduce ELM frequency.</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Monitor ELM frequency vs computed H_mag to validate. This is distinct from current q-profile resonance optimisation.</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ELM energy scaling (from CCDR crystal defect model): E_ELM ~ P_ped × V_pedestal × (ΔP/P_ped)².</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Testable against existing ELM databases (JET, DIII-D, ASDEX Upgrade).</w:t>
      </w:r>
    </w:p>
    <w:p>
      <w:pPr>
        <w:pStyle w:val="Heading2"/>
        <w:spacing w:before="220" w:after="110"/>
      </w:pPr>
      <w:r>
        <w:rPr>
          <w:rFonts w:ascii="Cambria" w:cs="Cambria" w:eastAsia="Cambria" w:hAnsi="Cambria"/>
          <w:b/>
          <w:bCs/>
          <w:i/>
          <w:iCs/>
          <w:sz w:val="23"/>
          <w:szCs w:val="23"/>
        </w:rPr>
        <w:t xml:space="preserve">1.5 Application: L–H Transition as χ Phase Transition</w:t>
      </w:r>
    </w:p>
    <w:p>
      <w:pPr>
        <w:spacing w:after="90" w:line="260"/>
        <w:jc w:val="both"/>
      </w:pPr>
      <w:r>
        <w:rPr>
          <w:rFonts w:ascii="Cambria" w:cs="Cambria" w:eastAsia="Cambria" w:hAnsi="Cambria"/>
          <w:sz w:val="21"/>
          <w:szCs w:val="21"/>
        </w:rPr>
        <w:t xml:space="preserve">In CDT–CCDR, the L–H mode transition is the edge plasma crossing a dimensional phase boundary. L-mode: 3D-turbulent edge (χ &gt;&gt; 1). H-mode: partially dimensionally reduced edge (effective 2D transport, χ ~ 1). The H-mode pedestal is the crystal surface — the ordered boundary between disordered edge and ordered core.</w:t>
      </w:r>
    </w:p>
    <w:p>
      <w:pPr>
        <w:spacing w:after="90" w:line="260"/>
        <w:jc w:val="both"/>
      </w:pPr>
      <w:r>
        <w:rPr>
          <w:rFonts w:ascii="Cambria" w:cs="Cambria" w:eastAsia="Cambria" w:hAnsi="Cambria"/>
          <w:sz w:val="21"/>
          <w:szCs w:val="21"/>
        </w:rPr>
        <w:t xml:space="preserve">Pedestal pressure prediction:</w:t>
      </w:r>
    </w:p>
    <w:p>
      <w:pPr>
        <w:spacing w:before="120" w:after="120"/>
        <w:ind w:left="480"/>
      </w:pPr>
      <w:r>
        <w:rPr>
          <w:rFonts w:ascii="Cambria Math" w:cs="Cambria Math" w:eastAsia="Cambria Math" w:hAnsi="Cambria Math"/>
          <w:i/>
          <w:iCs/>
          <w:sz w:val="21"/>
          <w:szCs w:val="21"/>
        </w:rPr>
        <w:t xml:space="preserve">P_ped &lt; B²/(2μ₀) × ν^{2/3} ~ 5–20 kPa for ITER-scale</w:t>
      </w:r>
      <w:r>
        <w:rPr>
          <w:rFonts w:ascii="Cambria" w:cs="Cambria" w:eastAsia="Cambria" w:hAnsi="Cambria"/>
          <w:sz w:val="21"/>
          <w:szCs w:val="21"/>
        </w:rPr>
        <w:t xml:space="preserve">    (5)</w:t>
      </w:r>
    </w:p>
    <w:p>
      <w:pPr>
        <w:spacing w:after="90" w:line="260"/>
        <w:jc w:val="both"/>
      </w:pPr>
      <w:r>
        <w:rPr>
          <w:rFonts w:ascii="Cambria" w:cs="Cambria" w:eastAsia="Cambria" w:hAnsi="Cambria"/>
          <w:sz w:val="21"/>
          <w:szCs w:val="21"/>
        </w:rPr>
        <w:t xml:space="preserve">where ν ~ 10⁻³ is the RVM coefficient (crystal elastic anharmonicity).</w:t>
      </w:r>
    </w:p>
    <w:p>
      <w:pPr>
        <w:pStyle w:val="Heading2"/>
        <w:spacing w:before="220" w:after="110"/>
      </w:pPr>
      <w:r>
        <w:rPr>
          <w:rFonts w:ascii="Cambria" w:cs="Cambria" w:eastAsia="Cambria" w:hAnsi="Cambria"/>
          <w:b/>
          <w:bCs/>
          <w:i/>
          <w:iCs/>
          <w:sz w:val="23"/>
          <w:szCs w:val="23"/>
        </w:rPr>
        <w:t xml:space="preserve">1.6 Fusion Predictions (FR1–FR8)</w:t>
      </w:r>
    </w:p>
    <w:p>
      <w:pPr>
        <w:spacing w:after="90" w:line="260"/>
        <w:jc w:val="both"/>
      </w:pPr>
      <w:r>
        <w:rPr>
          <w:rFonts w:ascii="Cambria" w:cs="Cambria" w:eastAsia="Cambria" w:hAnsi="Cambria"/>
          <w:b/>
          <w:bCs/>
          <w:sz w:val="21"/>
          <w:szCs w:val="21"/>
        </w:rPr>
        <w:t xml:space="preserve">FR1: </w:t>
      </w:r>
      <w:r>
        <w:rPr>
          <w:rFonts w:ascii="Cambria" w:cs="Cambria" w:eastAsia="Cambria" w:hAnsi="Cambria"/>
          <w:sz w:val="21"/>
          <w:szCs w:val="21"/>
        </w:rPr>
        <w:t xml:space="preserve">χ_min = 1.7 × 10⁻³ m²/s (fundamental KSS floor for D-T). No engineering can go below this.</w:t>
      </w:r>
    </w:p>
    <w:p>
      <w:pPr>
        <w:spacing w:after="90" w:line="260"/>
        <w:jc w:val="both"/>
      </w:pPr>
      <w:r>
        <w:rPr>
          <w:rFonts w:ascii="Cambria" w:cs="Cambria" w:eastAsia="Cambria" w:hAnsi="Cambria"/>
          <w:b/>
          <w:bCs/>
          <w:sz w:val="21"/>
          <w:szCs w:val="21"/>
        </w:rPr>
        <w:t xml:space="preserve">FR2: </w:t>
      </w:r>
      <w:r>
        <w:rPr>
          <w:rFonts w:ascii="Cambria" w:cs="Cambria" w:eastAsia="Cambria" w:hAnsi="Cambria"/>
          <w:sz w:val="21"/>
          <w:szCs w:val="21"/>
        </w:rPr>
        <w:t xml:space="preserve">P_ped ~ 5–20 kPa for ITER, from crystal elastic limit.</w:t>
      </w:r>
    </w:p>
    <w:p>
      <w:pPr>
        <w:spacing w:after="90" w:line="260"/>
        <w:jc w:val="both"/>
      </w:pPr>
      <w:r>
        <w:rPr>
          <w:rFonts w:ascii="Cambria" w:cs="Cambria" w:eastAsia="Cambria" w:hAnsi="Cambria"/>
          <w:b/>
          <w:bCs/>
          <w:sz w:val="21"/>
          <w:szCs w:val="21"/>
        </w:rPr>
        <w:t xml:space="preserve">FR3: </w:t>
      </w:r>
      <w:r>
        <w:rPr>
          <w:rFonts w:ascii="Cambria" w:cs="Cambria" w:eastAsia="Cambria" w:hAnsi="Cambria"/>
          <w:sz w:val="21"/>
          <w:szCs w:val="21"/>
        </w:rPr>
        <w:t xml:space="preserve">E_ELM ~ P_ped × V × (ΔP/P)². Parameter-free. Testable against ELM databases.</w:t>
      </w:r>
    </w:p>
    <w:p>
      <w:pPr>
        <w:spacing w:after="90" w:line="260"/>
        <w:jc w:val="both"/>
      </w:pPr>
      <w:r>
        <w:rPr>
          <w:rFonts w:ascii="Cambria" w:cs="Cambria" w:eastAsia="Cambria" w:hAnsi="Cambria"/>
          <w:b/>
          <w:bCs/>
          <w:sz w:val="21"/>
          <w:szCs w:val="21"/>
        </w:rPr>
        <w:t xml:space="preserve">FR4: </w:t>
      </w:r>
      <w:r>
        <w:rPr>
          <w:rFonts w:ascii="Cambria" w:cs="Cambria" w:eastAsia="Cambria" w:hAnsi="Cambria"/>
          <w:sz w:val="21"/>
          <w:szCs w:val="21"/>
        </w:rPr>
        <w:t xml:space="preserve">Non-monotonic η/s vs collisionality with minimum at KSS. Testable in current tokamaks.</w:t>
      </w:r>
    </w:p>
    <w:p>
      <w:pPr>
        <w:spacing w:after="90" w:line="260"/>
        <w:jc w:val="both"/>
      </w:pPr>
      <w:r>
        <w:rPr>
          <w:rFonts w:ascii="Cambria" w:cs="Cambria" w:eastAsia="Cambria" w:hAnsi="Cambria"/>
          <w:b/>
          <w:bCs/>
          <w:sz w:val="21"/>
          <w:szCs w:val="21"/>
        </w:rPr>
        <w:t xml:space="preserve">FR5: </w:t>
      </w:r>
      <w:r>
        <w:rPr>
          <w:rFonts w:ascii="Cambria" w:cs="Cambria" w:eastAsia="Cambria" w:hAnsi="Cambria"/>
          <w:sz w:val="21"/>
          <w:szCs w:val="21"/>
        </w:rPr>
        <w:t xml:space="preserve">Phononic bandgap suppression of drift-wave turbulence. Testable: periodic wall tiles in existing tokamaks.</w:t>
      </w:r>
    </w:p>
    <w:p>
      <w:pPr>
        <w:spacing w:after="90" w:line="260"/>
        <w:jc w:val="both"/>
      </w:pPr>
      <w:r>
        <w:rPr>
          <w:rFonts w:ascii="Cambria" w:cs="Cambria" w:eastAsia="Cambria" w:hAnsi="Cambria"/>
          <w:b/>
          <w:bCs/>
          <w:sz w:val="21"/>
          <w:szCs w:val="21"/>
        </w:rPr>
        <w:t xml:space="preserve">FR6: </w:t>
      </w:r>
      <w:r>
        <w:rPr>
          <w:rFonts w:ascii="Cambria" w:cs="Cambria" w:eastAsia="Cambria" w:hAnsi="Cambria"/>
          <w:sz w:val="21"/>
          <w:szCs w:val="21"/>
        </w:rPr>
        <w:t xml:space="preserve">ELM frequency ∝ |H_mag| at separatrix, independent of q-profile. Testable with existing RMP systems.</w:t>
      </w:r>
    </w:p>
    <w:p>
      <w:pPr>
        <w:spacing w:after="90" w:line="260"/>
        <w:jc w:val="both"/>
      </w:pPr>
      <w:r>
        <w:rPr>
          <w:rFonts w:ascii="Cambria" w:cs="Cambria" w:eastAsia="Cambria" w:hAnsi="Cambria"/>
          <w:b/>
          <w:bCs/>
          <w:sz w:val="21"/>
          <w:szCs w:val="21"/>
        </w:rPr>
        <w:t xml:space="preserve">FR7: </w:t>
      </w:r>
      <w:r>
        <w:rPr>
          <w:rFonts w:ascii="Cambria" w:cs="Cambria" w:eastAsia="Cambria" w:hAnsi="Cambria"/>
          <w:sz w:val="21"/>
          <w:szCs w:val="21"/>
        </w:rPr>
        <w:t xml:space="preserve">M_KSS should correlate with energy confinement time τ_E across all tokamak databases. New universal scaling.</w:t>
      </w:r>
    </w:p>
    <w:p>
      <w:pPr>
        <w:spacing w:after="90" w:line="260"/>
        <w:jc w:val="both"/>
      </w:pPr>
      <w:r>
        <w:rPr>
          <w:rFonts w:ascii="Cambria" w:cs="Cambria" w:eastAsia="Cambria" w:hAnsi="Cambria"/>
          <w:b/>
          <w:bCs/>
          <w:sz w:val="21"/>
          <w:szCs w:val="21"/>
        </w:rPr>
        <w:t xml:space="preserve">FR8: </w:t>
      </w:r>
      <w:r>
        <w:rPr>
          <w:rFonts w:ascii="Cambria" w:cs="Cambria" w:eastAsia="Cambria" w:hAnsi="Cambria"/>
          <w:sz w:val="21"/>
          <w:szCs w:val="21"/>
        </w:rPr>
        <w:t xml:space="preserve">Stellarator edge transport should naturally approach lower M_KSS than tokamaks (3D geometry provides better phononic mode structure).</w:t>
      </w:r>
    </w:p>
    <w:p>
      <w:pPr>
        <w:pStyle w:val="Heading1"/>
        <w:spacing w:before="300" w:after="150"/>
      </w:pPr>
      <w:r>
        <w:rPr>
          <w:rFonts w:ascii="Cambria" w:cs="Cambria" w:eastAsia="Cambria" w:hAnsi="Cambria"/>
          <w:b/>
          <w:bCs/>
          <w:sz w:val="26"/>
          <w:szCs w:val="26"/>
        </w:rPr>
        <w:t xml:space="preserve">Part II: Quantum Computing</w:t>
      </w:r>
    </w:p>
    <w:p>
      <w:pPr>
        <w:pStyle w:val="Heading2"/>
        <w:spacing w:before="220" w:after="110"/>
      </w:pPr>
      <w:r>
        <w:rPr>
          <w:rFonts w:ascii="Cambria" w:cs="Cambria" w:eastAsia="Cambria" w:hAnsi="Cambria"/>
          <w:b/>
          <w:bCs/>
          <w:i/>
          <w:iCs/>
          <w:sz w:val="23"/>
          <w:szCs w:val="23"/>
        </w:rPr>
        <w:t xml:space="preserve">2.1 Theoretical Foundation</w:t>
      </w:r>
    </w:p>
    <w:p>
      <w:pPr>
        <w:spacing w:after="90" w:line="260"/>
        <w:jc w:val="both"/>
      </w:pPr>
      <w:r>
        <w:rPr>
          <w:rFonts w:ascii="Cambria" w:cs="Cambria" w:eastAsia="Cambria" w:hAnsi="Cambria"/>
          <w:sz w:val="21"/>
          <w:szCs w:val="21"/>
        </w:rPr>
        <w:t xml:space="preserve">In CDT–CCDR, decoherence is acoustic phonon mode leakage: a qubit is a controlled excitation; decoherence is uncontrolled coupling to the background phonon bath. Three decoherence channels: (1) acoustic phonon bath (substrate), (2) electromagnetic noise (photon bath), (3) two-level system (TLS) defects. CDT–CCDR–TN addresses channel (1) directly via phononic crystal substrates, channel (3) via optical phonon gap engineering, and adds a fundamentally new channel (4): holographic code protection via CDT tensor network architecture.</w:t>
      </w:r>
    </w:p>
    <w:p>
      <w:pPr>
        <w:pStyle w:val="Heading2"/>
        <w:spacing w:before="220" w:after="110"/>
      </w:pPr>
      <w:r>
        <w:rPr>
          <w:rFonts w:ascii="Cambria" w:cs="Cambria" w:eastAsia="Cambria" w:hAnsi="Cambria"/>
          <w:b/>
          <w:bCs/>
          <w:i/>
          <w:iCs/>
          <w:sz w:val="23"/>
          <w:szCs w:val="23"/>
        </w:rPr>
        <w:t xml:space="preserve">2.2 Application: Phononic Crystal Substrates</w:t>
      </w:r>
    </w:p>
    <w:p>
      <w:pPr>
        <w:spacing w:after="90" w:line="260"/>
        <w:jc w:val="both"/>
      </w:pPr>
      <w:r>
        <w:rPr>
          <w:rFonts w:ascii="Cambria" w:cs="Cambria" w:eastAsia="Cambria" w:hAnsi="Cambria"/>
          <w:sz w:val="21"/>
          <w:szCs w:val="21"/>
        </w:rPr>
        <w:t xml:space="preserve">A phononic crystal substrate creates a frequency bandgap in the acoustic phonon density of states. If centred at the qubit frequency (4–8 GHz for transmons), channel (1) decoherence is suppressed to zero within the bandgap.</w:t>
      </w:r>
    </w:p>
    <w:p>
      <w:pPr>
        <w:spacing w:after="90" w:line="260"/>
        <w:jc w:val="both"/>
      </w:pPr>
      <w:r>
        <w:rPr>
          <w:rFonts w:ascii="Cambria" w:cs="Cambria" w:eastAsia="Cambria" w:hAnsi="Cambria"/>
          <w:b/>
          <w:bCs/>
          <w:sz w:val="21"/>
          <w:szCs w:val="21"/>
        </w:rPr>
        <w:t xml:space="preserve">Design parameters:</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Target: 5 GHz transmon → bandgap centred at 5 GHz.</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Phononic crystal period: a = v_phonon/(2f_qubit) ~ 6000/(10¹⁰) ~ 600 nm (silicon).</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Bandgap width: Δf/f ~ 0.3 achievable with Si pillar arrays on SOI membranes.</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Membrane thickness: ~ λ/4 at qubit frequency to suppress substrate radiation modes.</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Demonstrated: T1 extended from ~50 μs to ~300 μs in proof-of-concept (Painter group, Caltech).</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CCDR prediction: theoretical maximum T1 limited only by non-phononic channels once complete bandgap achieved.</w:t>
      </w:r>
    </w:p>
    <w:p>
      <w:pPr>
        <w:pStyle w:val="Heading2"/>
        <w:spacing w:before="220" w:after="110"/>
      </w:pPr>
      <w:r>
        <w:rPr>
          <w:rFonts w:ascii="Cambria" w:cs="Cambria" w:eastAsia="Cambria" w:hAnsi="Cambria"/>
          <w:b/>
          <w:bCs/>
          <w:i/>
          <w:iCs/>
          <w:sz w:val="23"/>
          <w:szCs w:val="23"/>
        </w:rPr>
        <w:t xml:space="preserve">2.3 Application: CDT Holographic Quantum Error-Correcting Code</w:t>
      </w:r>
    </w:p>
    <w:p>
      <w:pPr>
        <w:spacing w:after="90" w:line="260"/>
        <w:jc w:val="both"/>
      </w:pPr>
      <w:r>
        <w:rPr>
          <w:rFonts w:ascii="Cambria" w:cs="Cambria" w:eastAsia="Cambria" w:hAnsi="Cambria"/>
          <w:sz w:val="21"/>
          <w:szCs w:val="21"/>
        </w:rPr>
        <w:t xml:space="preserve">The CDT tensor network IS a quantum error-correcting code (Almheiri–Dong–Harlow). Bulk = logical qubits. Boundary = physical qubits. Code distance = RT minimal surface.</w:t>
      </w:r>
    </w:p>
    <w:p>
      <w:pPr>
        <w:spacing w:after="90" w:line="260"/>
        <w:jc w:val="both"/>
      </w:pPr>
      <w:r>
        <w:rPr>
          <w:rFonts w:ascii="Cambria" w:cs="Cambria" w:eastAsia="Cambria" w:hAnsi="Cambria"/>
          <w:b/>
          <w:bCs/>
          <w:sz w:val="21"/>
          <w:szCs w:val="21"/>
        </w:rPr>
        <w:t xml:space="preserve">Code properties:</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Code distance: d ~ N^{1/3} for 3D CDT (vs d ~ N^{1/2} for surface codes).</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At N = 10⁶ physical qubits: CDT code d ~ 100.</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Local correctability: entanglement wedge reconstruction — errors on any boundary subregion correctable.</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Irregular connectivity of CDT creates diverse error paths, potentially harder to cascade than regular lattice.</w:t>
      </w:r>
    </w:p>
    <w:p>
      <w:pPr>
        <w:spacing w:after="90" w:line="260"/>
        <w:jc w:val="both"/>
      </w:pPr>
      <w:r>
        <w:rPr>
          <w:rFonts w:ascii="Cambria" w:cs="Cambria" w:eastAsia="Cambria" w:hAnsi="Cambria"/>
          <w:b/>
          <w:bCs/>
          <w:sz w:val="21"/>
          <w:szCs w:val="21"/>
        </w:rPr>
        <w:t xml:space="preserve">Implementation pipeline:</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Step 1: Generate 3D CDT C-phase triangulation (CDT-plusplus, ~10³–10⁴ simplices).</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Step 2: Extract boundary graph and bulk-to-boundary TN contraction.</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Step 3: Compile TN into 2-qubit gate circuit (each tensor = product of controlled rotations).</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Step 4: Simulate with Stim/PyMatching: code distance, logical error rate, threshold.</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Step 5: Compare with surface code of same size.</w:t>
      </w:r>
    </w:p>
    <w:p>
      <w:pPr>
        <w:spacing w:after="60" w:line="252"/>
        <w:ind w:left="360" w:hanging="180"/>
      </w:pPr>
      <w:r>
        <w:rPr>
          <w:rFonts w:ascii="Cambria" w:cs="Cambria" w:eastAsia="Cambria" w:hAnsi="Cambria"/>
          <w:sz w:val="21"/>
          <w:szCs w:val="21"/>
        </w:rPr>
        <w:t xml:space="preserve">• </w:t>
      </w:r>
      <w:r>
        <w:rPr>
          <w:rFonts w:ascii="Cambria" w:cs="Cambria" w:eastAsia="Cambria" w:hAnsi="Cambria"/>
          <w:b/>
          <w:bCs/>
          <w:sz w:val="21"/>
          <w:szCs w:val="21"/>
        </w:rPr>
        <w:t xml:space="preserve">Achievable by a single researcher in weeks with free software.</w:t>
      </w:r>
    </w:p>
    <w:p>
      <w:pPr>
        <w:pStyle w:val="Heading2"/>
        <w:spacing w:before="220" w:after="110"/>
      </w:pPr>
      <w:r>
        <w:rPr>
          <w:rFonts w:ascii="Cambria" w:cs="Cambria" w:eastAsia="Cambria" w:hAnsi="Cambria"/>
          <w:b/>
          <w:bCs/>
          <w:i/>
          <w:iCs/>
          <w:sz w:val="23"/>
          <w:szCs w:val="23"/>
        </w:rPr>
        <w:t xml:space="preserve">2.4 Application: Dark-Sector Qubit via Optical Phonon Pinning</w:t>
      </w:r>
    </w:p>
    <w:p>
      <w:pPr>
        <w:spacing w:after="90" w:line="260"/>
        <w:jc w:val="both"/>
      </w:pPr>
      <w:r>
        <w:rPr>
          <w:rFonts w:ascii="Cambria" w:cs="Cambria" w:eastAsia="Cambria" w:hAnsi="Cambria"/>
          <w:sz w:val="21"/>
          <w:szCs w:val="21"/>
        </w:rPr>
        <w:t xml:space="preserve">The most radical application. In CCDR, an optical phonon mode cannot decay into acoustic modes without breaking lattice symmetry — its lifetime is protected by orthogonality, not energy barriers. Ball lightning demonstrates macroscopic optical phonon pinning by a topological electromagnetic defect with H_mag ≠ 0.</w:t>
      </w:r>
    </w:p>
    <w:p>
      <w:pPr>
        <w:spacing w:after="90" w:line="260"/>
        <w:jc w:val="both"/>
      </w:pPr>
      <w:r>
        <w:rPr>
          <w:rFonts w:ascii="Cambria" w:cs="Cambria" w:eastAsia="Cambria" w:hAnsi="Cambria"/>
          <w:b/>
          <w:bCs/>
          <w:sz w:val="21"/>
          <w:szCs w:val="21"/>
        </w:rPr>
        <w:t xml:space="preserve">Conceptual design:</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Crystal: large acoustic-optical gap (hexagonal boron nitride, diamond, GaN — large mass contrast, high symmetry).</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Topological spin texture: skyrmion or hopfion within crystal at nanometre scale, creating H_mag ≠ 0.</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The topological defect pins an optical phonon mode. The mode IS the qubit.</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Read/write via electromagnetic boundary layer at nodal surface (same physics as ball lightning glow).</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Decoherence floor: T_decoherence ~ T_dS ~ 2.3 × 10⁻³⁰ K — effectively zero.</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Beyond current fabrication. Intermediate step: optically accessible optical phonon modes in topological magnets — within reach.</w:t>
      </w:r>
    </w:p>
    <w:p>
      <w:pPr>
        <w:pStyle w:val="Heading2"/>
        <w:spacing w:before="220" w:after="110"/>
      </w:pPr>
      <w:r>
        <w:rPr>
          <w:rFonts w:ascii="Cambria" w:cs="Cambria" w:eastAsia="Cambria" w:hAnsi="Cambria"/>
          <w:b/>
          <w:bCs/>
          <w:i/>
          <w:iCs/>
          <w:sz w:val="23"/>
          <w:szCs w:val="23"/>
        </w:rPr>
        <w:t xml:space="preserve">2.5 Application: Discrete Time Crystal Qubits</w:t>
      </w:r>
    </w:p>
    <w:p>
      <w:pPr>
        <w:spacing w:after="90" w:line="260"/>
        <w:jc w:val="both"/>
      </w:pPr>
      <w:r>
        <w:rPr>
          <w:rFonts w:ascii="Cambria" w:cs="Cambria" w:eastAsia="Cambria" w:hAnsi="Cambria"/>
          <w:sz w:val="21"/>
          <w:szCs w:val="21"/>
        </w:rPr>
        <w:t xml:space="preserve">A DTC qubit encodes quantum information in temporal periodicity rather than static energy levels. Local perturbations cannot remove the periodicity without driving a phase transition — intrinsic error protection.</w:t>
      </w:r>
    </w:p>
    <w:p>
      <w:pPr>
        <w:spacing w:after="90" w:line="260"/>
        <w:jc w:val="both"/>
      </w:pPr>
      <w:r>
        <w:rPr>
          <w:rFonts w:ascii="Cambria" w:cs="Cambria" w:eastAsia="Cambria" w:hAnsi="Cambria"/>
          <w:b/>
          <w:bCs/>
          <w:sz w:val="21"/>
          <w:szCs w:val="21"/>
        </w:rPr>
        <w:t xml:space="preserve">DTC qubit implementation (near-term NISQ):</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Platform: 50+ qubit superconducting or trapped-ion arrays.</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Protocol: periodic drive at f_drive; tune to DTC phase (period-doubling at f_drive/2).</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Logical qubit: phase of period-doubled oscillation (0 or π = |0⟩ or |1⟩).</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Error rate: perturbations ε produce errors ~ ε^N (exponential suppression with system size N).</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State of art: Google 2021 (Mi et al., Nature 601, 531) — 20 qubits, ~100 cycles. CCDR motivates scaling to logical qubit.</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CDT–CCDR connection: the universe’s time crystal at ω = H∞ is the macroscopic limit of this phase.</w:t>
      </w:r>
    </w:p>
    <w:p>
      <w:pPr>
        <w:pStyle w:val="Heading2"/>
        <w:spacing w:before="220" w:after="110"/>
      </w:pPr>
      <w:r>
        <w:rPr>
          <w:rFonts w:ascii="Cambria" w:cs="Cambria" w:eastAsia="Cambria" w:hAnsi="Cambria"/>
          <w:b/>
          <w:bCs/>
          <w:i/>
          <w:iCs/>
          <w:sz w:val="23"/>
          <w:szCs w:val="23"/>
        </w:rPr>
        <w:t xml:space="preserve">2.6 Quantum Computing Predictions (QC1–QC10)</w:t>
      </w:r>
    </w:p>
    <w:p>
      <w:pPr>
        <w:spacing w:after="90" w:line="260"/>
        <w:jc w:val="both"/>
      </w:pPr>
      <w:r>
        <w:rPr>
          <w:rFonts w:ascii="Cambria" w:cs="Cambria" w:eastAsia="Cambria" w:hAnsi="Cambria"/>
          <w:b/>
          <w:bCs/>
          <w:sz w:val="21"/>
          <w:szCs w:val="21"/>
        </w:rPr>
        <w:t xml:space="preserve">QC1: </w:t>
      </w:r>
      <w:r>
        <w:rPr>
          <w:rFonts w:ascii="Cambria" w:cs="Cambria" w:eastAsia="Cambria" w:hAnsi="Cambria"/>
          <w:sz w:val="21"/>
          <w:szCs w:val="21"/>
        </w:rPr>
        <w:t xml:space="preserve">CDT holographic code: d ~ N^{1/3}. QC2: CDT wins vs surface code at N &gt; 10⁵.</w:t>
      </w:r>
    </w:p>
    <w:p>
      <w:pPr>
        <w:spacing w:after="90" w:line="260"/>
        <w:jc w:val="both"/>
      </w:pPr>
      <w:r>
        <w:rPr>
          <w:rFonts w:ascii="Cambria" w:cs="Cambria" w:eastAsia="Cambria" w:hAnsi="Cambria"/>
          <w:b/>
          <w:bCs/>
          <w:sz w:val="21"/>
          <w:szCs w:val="21"/>
        </w:rPr>
        <w:t xml:space="preserve">QC3: </w:t>
      </w:r>
      <w:r>
        <w:rPr>
          <w:rFonts w:ascii="Cambria" w:cs="Cambria" w:eastAsia="Cambria" w:hAnsi="Cambria"/>
          <w:sz w:val="21"/>
          <w:szCs w:val="21"/>
        </w:rPr>
        <w:t xml:space="preserve">Threshold p_th ~ 1%, potentially higher for correlated noise.</w:t>
      </w:r>
    </w:p>
    <w:p>
      <w:pPr>
        <w:spacing w:after="90" w:line="260"/>
        <w:jc w:val="both"/>
      </w:pPr>
      <w:r>
        <w:rPr>
          <w:rFonts w:ascii="Cambria" w:cs="Cambria" w:eastAsia="Cambria" w:hAnsi="Cambria"/>
          <w:b/>
          <w:bCs/>
          <w:sz w:val="21"/>
          <w:szCs w:val="21"/>
        </w:rPr>
        <w:t xml:space="preserve">QC4: </w:t>
      </w:r>
      <w:r>
        <w:rPr>
          <w:rFonts w:ascii="Cambria" w:cs="Cambria" w:eastAsia="Cambria" w:hAnsi="Cambria"/>
          <w:sz w:val="21"/>
          <w:szCs w:val="21"/>
        </w:rPr>
        <w:t xml:space="preserve">Superior burst error protection (RT surface traverses full bulk).</w:t>
      </w:r>
    </w:p>
    <w:p>
      <w:pPr>
        <w:spacing w:after="90" w:line="260"/>
        <w:jc w:val="both"/>
      </w:pPr>
      <w:r>
        <w:rPr>
          <w:rFonts w:ascii="Cambria" w:cs="Cambria" w:eastAsia="Cambria" w:hAnsi="Cambria"/>
          <w:b/>
          <w:bCs/>
          <w:sz w:val="21"/>
          <w:szCs w:val="21"/>
        </w:rPr>
        <w:t xml:space="preserve">QC5: </w:t>
      </w:r>
      <w:r>
        <w:rPr>
          <w:rFonts w:ascii="Cambria" w:cs="Cambria" w:eastAsia="Cambria" w:hAnsi="Cambria"/>
          <w:sz w:val="21"/>
          <w:szCs w:val="21"/>
        </w:rPr>
        <w:t xml:space="preserve">Phononic crystal substrate T1 &gt; 1 ms (vs ~0.5 ms current transmons).</w:t>
      </w:r>
    </w:p>
    <w:p>
      <w:pPr>
        <w:spacing w:after="90" w:line="260"/>
        <w:jc w:val="both"/>
      </w:pPr>
      <w:r>
        <w:rPr>
          <w:rFonts w:ascii="Cambria" w:cs="Cambria" w:eastAsia="Cambria" w:hAnsi="Cambria"/>
          <w:b/>
          <w:bCs/>
          <w:sz w:val="21"/>
          <w:szCs w:val="21"/>
        </w:rPr>
        <w:t xml:space="preserve">QC6: </w:t>
      </w:r>
      <w:r>
        <w:rPr>
          <w:rFonts w:ascii="Cambria" w:cs="Cambria" w:eastAsia="Cambria" w:hAnsi="Cambria"/>
          <w:sz w:val="21"/>
          <w:szCs w:val="21"/>
        </w:rPr>
        <w:t xml:space="preserve">Dark-sector qubit T_decoherence ~ T_dS ~ 10⁻³⁰ K (theoretical limit).</w:t>
      </w:r>
    </w:p>
    <w:p>
      <w:pPr>
        <w:spacing w:after="90" w:line="260"/>
        <w:jc w:val="both"/>
      </w:pPr>
      <w:r>
        <w:rPr>
          <w:rFonts w:ascii="Cambria" w:cs="Cambria" w:eastAsia="Cambria" w:hAnsi="Cambria"/>
          <w:b/>
          <w:bCs/>
          <w:sz w:val="21"/>
          <w:szCs w:val="21"/>
        </w:rPr>
        <w:t xml:space="preserve">QC7: </w:t>
      </w:r>
      <w:r>
        <w:rPr>
          <w:rFonts w:ascii="Cambria" w:cs="Cambria" w:eastAsia="Cambria" w:hAnsi="Cambria"/>
          <w:sz w:val="21"/>
          <w:szCs w:val="21"/>
        </w:rPr>
        <w:t xml:space="preserve">DTC qubit intrinsic error rate &lt; 10⁻⁶ per cycle at N &gt; 100 qubits.</w:t>
      </w:r>
    </w:p>
    <w:p>
      <w:pPr>
        <w:spacing w:after="90" w:line="260"/>
        <w:jc w:val="both"/>
      </w:pPr>
      <w:r>
        <w:rPr>
          <w:rFonts w:ascii="Cambria" w:cs="Cambria" w:eastAsia="Cambria" w:hAnsi="Cambria"/>
          <w:b/>
          <w:bCs/>
          <w:sz w:val="21"/>
          <w:szCs w:val="21"/>
        </w:rPr>
        <w:t xml:space="preserve">QC8: </w:t>
      </w:r>
      <w:r>
        <w:rPr>
          <w:rFonts w:ascii="Cambria" w:cs="Cambria" w:eastAsia="Cambria" w:hAnsi="Cambria"/>
          <w:sz w:val="21"/>
          <w:szCs w:val="21"/>
        </w:rPr>
        <w:t xml:space="preserve">Spin qubits in isotopically pure Si + acoustic-optical gap: T2 &gt; 10 s (vs ~1 s current).</w:t>
      </w:r>
    </w:p>
    <w:p>
      <w:pPr>
        <w:spacing w:after="90" w:line="260"/>
        <w:jc w:val="both"/>
      </w:pPr>
      <w:r>
        <w:rPr>
          <w:rFonts w:ascii="Cambria" w:cs="Cambria" w:eastAsia="Cambria" w:hAnsi="Cambria"/>
          <w:b/>
          <w:bCs/>
          <w:sz w:val="21"/>
          <w:szCs w:val="21"/>
        </w:rPr>
        <w:t xml:space="preserve">QC9: </w:t>
      </w:r>
      <w:r>
        <w:rPr>
          <w:rFonts w:ascii="Cambria" w:cs="Cambria" w:eastAsia="Cambria" w:hAnsi="Cambria"/>
          <w:sz w:val="21"/>
          <w:szCs w:val="21"/>
        </w:rPr>
        <w:t xml:space="preserve">CDT code should show qualitatively different error threshold under spatially correlated noise.</w:t>
      </w:r>
    </w:p>
    <w:p>
      <w:pPr>
        <w:spacing w:after="90" w:line="260"/>
        <w:jc w:val="both"/>
      </w:pPr>
      <w:r>
        <w:rPr>
          <w:rFonts w:ascii="Cambria" w:cs="Cambria" w:eastAsia="Cambria" w:hAnsi="Cambria"/>
          <w:b/>
          <w:bCs/>
          <w:sz w:val="21"/>
          <w:szCs w:val="21"/>
        </w:rPr>
        <w:t xml:space="preserve">QC10: </w:t>
      </w:r>
      <w:r>
        <w:rPr>
          <w:rFonts w:ascii="Cambria" w:cs="Cambria" w:eastAsia="Cambria" w:hAnsi="Cambria"/>
          <w:sz w:val="21"/>
          <w:szCs w:val="21"/>
        </w:rPr>
        <w:t xml:space="preserve">Moiré superlattice substrates with twist-angle-tunable phononic bandgap at qubit frequency.</w:t>
      </w:r>
    </w:p>
    <w:p>
      <w:pPr>
        <w:pStyle w:val="Heading1"/>
        <w:spacing w:before="300" w:after="150"/>
      </w:pPr>
      <w:r>
        <w:rPr>
          <w:rFonts w:ascii="Cambria" w:cs="Cambria" w:eastAsia="Cambria" w:hAnsi="Cambria"/>
          <w:b/>
          <w:bCs/>
          <w:sz w:val="26"/>
          <w:szCs w:val="26"/>
        </w:rPr>
        <w:t xml:space="preserve">Part III: Advanced Materials</w:t>
      </w:r>
    </w:p>
    <w:p>
      <w:pPr>
        <w:pStyle w:val="Heading2"/>
        <w:spacing w:before="220" w:after="110"/>
      </w:pPr>
      <w:r>
        <w:rPr>
          <w:rFonts w:ascii="Cambria" w:cs="Cambria" w:eastAsia="Cambria" w:hAnsi="Cambria"/>
          <w:b/>
          <w:bCs/>
          <w:i/>
          <w:iCs/>
          <w:sz w:val="23"/>
          <w:szCs w:val="23"/>
        </w:rPr>
        <w:t xml:space="preserve">3.1 Theoretical Foundation</w:t>
      </w:r>
    </w:p>
    <w:p>
      <w:pPr>
        <w:spacing w:after="90" w:line="260"/>
        <w:jc w:val="both"/>
      </w:pPr>
      <w:r>
        <w:rPr>
          <w:rFonts w:ascii="Cambria" w:cs="Cambria" w:eastAsia="Cambria" w:hAnsi="Cambria"/>
          <w:sz w:val="21"/>
          <w:szCs w:val="21"/>
        </w:rPr>
        <w:t xml:space="preserve">Every material crystal is a local realisation of the cosmological crystal phonon structure. Acoustic modes carry Standard Model interactions; optical modes are protected by lattice symmetry. The design principle: choose lattice symmetry and mass ratio to maximise acoustic-optical orthogonality, minimising intermode scattering.</w:t>
      </w:r>
    </w:p>
    <w:p>
      <w:pPr>
        <w:pStyle w:val="Heading2"/>
        <w:spacing w:before="220" w:after="110"/>
      </w:pPr>
      <w:r>
        <w:rPr>
          <w:rFonts w:ascii="Cambria" w:cs="Cambria" w:eastAsia="Cambria" w:hAnsi="Cambria"/>
          <w:b/>
          <w:bCs/>
          <w:i/>
          <w:iCs/>
          <w:sz w:val="23"/>
          <w:szCs w:val="23"/>
        </w:rPr>
        <w:t xml:space="preserve">3.2 Application: Kibble–Zurek Optimal Processing</w:t>
      </w:r>
    </w:p>
    <w:p>
      <w:pPr>
        <w:spacing w:after="90" w:line="260"/>
        <w:jc w:val="both"/>
      </w:pPr>
      <w:r>
        <w:rPr>
          <w:rFonts w:ascii="Cambria" w:cs="Cambria" w:eastAsia="Cambria" w:hAnsi="Cambria"/>
          <w:sz w:val="21"/>
          <w:szCs w:val="21"/>
        </w:rPr>
        <w:t xml:space="preserve">Grain boundary density is governed by the Kibble–Zurek mechanism — identical to cosmic web formation:</w:t>
      </w:r>
    </w:p>
    <w:p>
      <w:pPr>
        <w:spacing w:before="120" w:after="120"/>
        <w:ind w:left="480"/>
      </w:pPr>
      <w:r>
        <w:rPr>
          <w:rFonts w:ascii="Cambria Math" w:cs="Cambria Math" w:eastAsia="Cambria Math" w:hAnsi="Cambria Math"/>
          <w:i/>
          <w:iCs/>
          <w:sz w:val="21"/>
          <w:szCs w:val="21"/>
        </w:rPr>
        <w:t xml:space="preserve">ξ(τ_Q) ~ ξ₀ × (τ_Q/τ₀)^{ν/(1+ν z)}</w:t>
      </w:r>
      <w:r>
        <w:rPr>
          <w:rFonts w:ascii="Cambria" w:cs="Cambria" w:eastAsia="Cambria" w:hAnsi="Cambria"/>
          <w:sz w:val="21"/>
          <w:szCs w:val="21"/>
        </w:rPr>
        <w:t xml:space="preserve">    (6)</w:t>
      </w:r>
    </w:p>
    <w:p>
      <w:pPr>
        <w:spacing w:after="90" w:line="260"/>
        <w:jc w:val="both"/>
      </w:pPr>
      <w:r>
        <w:rPr>
          <w:rFonts w:ascii="Cambria" w:cs="Cambria" w:eastAsia="Cambria" w:hAnsi="Cambria"/>
          <w:sz w:val="21"/>
          <w:szCs w:val="21"/>
        </w:rPr>
        <w:t xml:space="preserve">where ξ = grain size, τ_Q = quench time, ν = correlation length exponent, z = dynamical exponent.</w:t>
      </w:r>
    </w:p>
    <w:p>
      <w:pPr>
        <w:spacing w:after="90" w:line="260"/>
        <w:jc w:val="both"/>
      </w:pPr>
      <w:r>
        <w:rPr>
          <w:rFonts w:ascii="Cambria" w:cs="Cambria" w:eastAsia="Cambria" w:hAnsi="Cambria"/>
          <w:b/>
          <w:bCs/>
          <w:sz w:val="21"/>
          <w:szCs w:val="21"/>
        </w:rPr>
        <w:t xml:space="preserve">Optimal processing protocol:</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Measure τ₀ (microscopic relaxation near T_c) via DMA or dielectric spectroscopy.</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Determine ν and z for material’s universality class (3D Ising: ν = 0.63, z = 2.02).</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Optimal cooling rate: dT/dt = (T − T_c)/(τ₀ × (ξ/ξ₀)^{(1+ν z)/ν}).</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Not linear (quench) or exponential (anneal) — Kibble–Zurek scaling. Novel profile never used industrially.</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Apply via controlled furnace cooling or laser annealing.</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Applicable to: Ni superalloys (turbine blades), Si (photovoltaics), Al alloys (aerospace), semiconductor substrates.</w:t>
      </w:r>
    </w:p>
    <w:p>
      <w:pPr>
        <w:pStyle w:val="Heading2"/>
        <w:spacing w:before="220" w:after="110"/>
      </w:pPr>
      <w:r>
        <w:rPr>
          <w:rFonts w:ascii="Cambria" w:cs="Cambria" w:eastAsia="Cambria" w:hAnsi="Cambria"/>
          <w:b/>
          <w:bCs/>
          <w:i/>
          <w:iCs/>
          <w:sz w:val="23"/>
          <w:szCs w:val="23"/>
        </w:rPr>
        <w:t xml:space="preserve">3.3 Application: CCDR Grain Boundary Thermal Conductivity</w:t>
      </w:r>
    </w:p>
    <w:p>
      <w:pPr>
        <w:spacing w:after="90" w:line="260"/>
        <w:jc w:val="both"/>
      </w:pPr>
      <w:r>
        <w:rPr>
          <w:rFonts w:ascii="Cambria" w:cs="Cambria" w:eastAsia="Cambria" w:hAnsi="Cambria"/>
          <w:sz w:val="21"/>
          <w:szCs w:val="21"/>
        </w:rPr>
        <w:t xml:space="preserve">The CCDR grain boundary phonon scattering model (from MOND cosmological derivation) applied to materials:</w:t>
      </w:r>
    </w:p>
    <w:p>
      <w:pPr>
        <w:spacing w:before="120" w:after="120"/>
        <w:ind w:left="480"/>
      </w:pPr>
      <w:r>
        <w:rPr>
          <w:rFonts w:ascii="Cambria Math" w:cs="Cambria Math" w:eastAsia="Cambria Math" w:hAnsi="Cambria Math"/>
          <w:i/>
          <w:iCs/>
          <w:sz w:val="21"/>
          <w:szCs w:val="21"/>
        </w:rPr>
        <w:t xml:space="preserve">κ(T) = κ₀(T) × μ(λ(T)/L_grain), where μ(x) = x/(1+x)^{1/2}</w:t>
      </w:r>
      <w:r>
        <w:rPr>
          <w:rFonts w:ascii="Cambria" w:cs="Cambria" w:eastAsia="Cambria" w:hAnsi="Cambria"/>
          <w:sz w:val="21"/>
          <w:szCs w:val="21"/>
        </w:rPr>
        <w:t xml:space="preserve">    (7)</w:t>
      </w:r>
    </w:p>
    <w:p>
      <w:pPr>
        <w:spacing w:after="90" w:line="260"/>
        <w:jc w:val="both"/>
      </w:pPr>
      <w:r>
        <w:rPr>
          <w:rFonts w:ascii="Cambria" w:cs="Cambria" w:eastAsia="Cambria" w:hAnsi="Cambria"/>
          <w:sz w:val="21"/>
          <w:szCs w:val="21"/>
        </w:rPr>
        <w:t xml:space="preserve">Parameter-free (L_grain measured independently). Differs from standard Casimir boundary scattering by 5–15% at intermediate T. At low T: κ ~ T^{1/2} × κ₀ (CCDR) vs κ ~ L_grain (Casimir).</w:t>
      </w:r>
    </w:p>
    <w:p>
      <w:pPr>
        <w:pStyle w:val="Heading2"/>
        <w:spacing w:before="220" w:after="110"/>
      </w:pPr>
      <w:r>
        <w:rPr>
          <w:rFonts w:ascii="Cambria" w:cs="Cambria" w:eastAsia="Cambria" w:hAnsi="Cambria"/>
          <w:b/>
          <w:bCs/>
          <w:i/>
          <w:iCs/>
          <w:sz w:val="23"/>
          <w:szCs w:val="23"/>
        </w:rPr>
        <w:t xml:space="preserve">3.4 Application: Hexagonal Grain Boundary Angular Dependence</w:t>
      </w:r>
    </w:p>
    <w:p>
      <w:pPr>
        <w:spacing w:after="90" w:line="260"/>
        <w:jc w:val="both"/>
      </w:pPr>
      <w:r>
        <w:rPr>
          <w:rFonts w:ascii="Cambria" w:cs="Cambria" w:eastAsia="Cambria" w:hAnsi="Cambria"/>
          <w:sz w:val="21"/>
          <w:szCs w:val="21"/>
        </w:rPr>
        <w:t xml:space="preserve">From the Koide formula Brillouin zone derivation:</w:t>
      </w:r>
    </w:p>
    <w:p>
      <w:pPr>
        <w:spacing w:before="120" w:after="120"/>
        <w:ind w:left="480"/>
      </w:pPr>
      <w:r>
        <w:rPr>
          <w:rFonts w:ascii="Cambria Math" w:cs="Cambria Math" w:eastAsia="Cambria Math" w:hAnsi="Cambria Math"/>
          <w:i/>
          <w:iCs/>
          <w:sz w:val="21"/>
          <w:szCs w:val="21"/>
        </w:rPr>
        <w:t xml:space="preserve">T(θ) = cos²(θ/2) × [1 + ε · cos(6θ)]</w:t>
      </w:r>
      <w:r>
        <w:rPr>
          <w:rFonts w:ascii="Cambria" w:cs="Cambria" w:eastAsia="Cambria" w:hAnsi="Cambria"/>
          <w:sz w:val="21"/>
          <w:szCs w:val="21"/>
        </w:rPr>
        <w:t xml:space="preserve">    (8)</w:t>
      </w:r>
    </w:p>
    <w:p>
      <w:pPr>
        <w:spacing w:after="90" w:line="260"/>
        <w:jc w:val="both"/>
      </w:pPr>
      <w:r>
        <w:rPr>
          <w:rFonts w:ascii="Cambria" w:cs="Cambria" w:eastAsia="Cambria" w:hAnsi="Cambria"/>
          <w:sz w:val="21"/>
          <w:szCs w:val="21"/>
        </w:rPr>
        <w:t xml:space="preserve">The cos(6θ) term is the hexagonal symmetry fingerprint — absent from all standard models. Predicts anomalously high phonon transmission at θ = 30° (maximally misoriented in hexagonal lattice) — counterintuitive result testable with phonon spectroscopy.</w:t>
      </w:r>
    </w:p>
    <w:p>
      <w:pPr>
        <w:pStyle w:val="Heading2"/>
        <w:spacing w:before="220" w:after="110"/>
      </w:pPr>
      <w:r>
        <w:rPr>
          <w:rFonts w:ascii="Cambria" w:cs="Cambria" w:eastAsia="Cambria" w:hAnsi="Cambria"/>
          <w:b/>
          <w:bCs/>
          <w:i/>
          <w:iCs/>
          <w:sz w:val="23"/>
          <w:szCs w:val="23"/>
        </w:rPr>
        <w:t xml:space="preserve">3.5 Application: Acoustic-Optical Orthogonality for Thermal Management</w:t>
      </w:r>
    </w:p>
    <w:p>
      <w:pPr>
        <w:spacing w:after="90" w:line="260"/>
        <w:jc w:val="both"/>
      </w:pPr>
      <w:r>
        <w:rPr>
          <w:rFonts w:ascii="Cambria" w:cs="Cambria" w:eastAsia="Cambria" w:hAnsi="Cambria"/>
          <w:b/>
          <w:bCs/>
          <w:sz w:val="21"/>
          <w:szCs w:val="21"/>
        </w:rPr>
        <w:t xml:space="preserve">Design rules for maximum thermal conductivity:</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Space group with acoustic/optical modes in different irreducible representations (cubic Fd-3m, hexagonal P6_3/mmc).</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Maximise mass ratio between basis atoms: Bi/Se, Ga/N, B/N.</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Isotopically purified samples: eliminate mass-disorder scattering.</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Isotopically pure diamond: κ ~ 3300 W/m/K (highest known) — CCDR explains as maximum acoustic-optical orthogonality in FCC carbon.</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For chip cooling: hBN on Si provides acoustic isolation (phononic bandgap) + high in-plane κ (~400 W/m/K). Same physical origin: large B/N mass ratio → large acoustic-optical gap.</w:t>
      </w:r>
    </w:p>
    <w:p>
      <w:pPr>
        <w:pStyle w:val="Heading2"/>
        <w:spacing w:before="220" w:after="110"/>
      </w:pPr>
      <w:r>
        <w:rPr>
          <w:rFonts w:ascii="Cambria" w:cs="Cambria" w:eastAsia="Cambria" w:hAnsi="Cambria"/>
          <w:b/>
          <w:bCs/>
          <w:i/>
          <w:iCs/>
          <w:sz w:val="23"/>
          <w:szCs w:val="23"/>
        </w:rPr>
        <w:t xml:space="preserve">3.6 Application: Skyrmion Lattices as Topological Quantum Memory</w:t>
      </w:r>
    </w:p>
    <w:p>
      <w:pPr>
        <w:spacing w:after="90" w:line="260"/>
        <w:jc w:val="both"/>
      </w:pPr>
      <w:r>
        <w:rPr>
          <w:rFonts w:ascii="Cambria" w:cs="Cambria" w:eastAsia="Cambria" w:hAnsi="Cambria"/>
          <w:sz w:val="21"/>
          <w:szCs w:val="21"/>
        </w:rPr>
        <w:t xml:space="preserve">Skyrmions have non-trivial winding number and H_mag ≠ 0 — precisely the CCDR condition for optical phonon pinning. A skyrmion lattice with engineered helicity could support:</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Spatially localised optical phonon oscillations (5–100 nm skyrmion core).</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Topologically protected against perturbations not changing skyrmion topology.</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Room-temperature stable (topological protection doesn’t require cryo — ball lightning occurs at ~300 K).</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Readable via electromagnetic boundary layer coupling at nodal surface.</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Functionally: room-temperature non-volatile quantum memory bit.</w:t>
      </w:r>
    </w:p>
    <w:p>
      <w:pPr>
        <w:spacing w:after="90" w:line="260"/>
        <w:jc w:val="both"/>
      </w:pPr>
      <w:r>
        <w:rPr>
          <w:rFonts w:ascii="Cambria" w:cs="Cambria" w:eastAsia="Cambria" w:hAnsi="Cambria"/>
          <w:b/>
          <w:bCs/>
          <w:sz w:val="21"/>
          <w:szCs w:val="21"/>
        </w:rPr>
        <w:t xml:space="preserve">Candidate materials:</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MnSi, FeGe, Co-Zn-Mn alloys: room-temperature skyrmion hosts with tunable helicity.</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Cu₂OSeO₃: insulating skyrmion host — eliminates Ohmic dissipation.</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Van der Waals magnetic heterostructures (Cr₂Ge₂Te₆/WTe₂): 2D skyrmions with twist-angle-tunable helicity.</w:t>
      </w:r>
    </w:p>
    <w:p>
      <w:pPr>
        <w:pStyle w:val="Heading2"/>
        <w:spacing w:before="220" w:after="110"/>
      </w:pPr>
      <w:r>
        <w:rPr>
          <w:rFonts w:ascii="Cambria" w:cs="Cambria" w:eastAsia="Cambria" w:hAnsi="Cambria"/>
          <w:b/>
          <w:bCs/>
          <w:i/>
          <w:iCs/>
          <w:sz w:val="23"/>
          <w:szCs w:val="23"/>
        </w:rPr>
        <w:t xml:space="preserve">3.7 Application: Thermoelectric Figure of Merit Optimisation</w:t>
      </w:r>
    </w:p>
    <w:p>
      <w:pPr>
        <w:spacing w:after="90" w:line="260"/>
        <w:jc w:val="both"/>
      </w:pPr>
      <w:r>
        <w:rPr>
          <w:rFonts w:ascii="Cambria" w:cs="Cambria" w:eastAsia="Cambria" w:hAnsi="Cambria"/>
          <w:sz w:val="21"/>
          <w:szCs w:val="21"/>
        </w:rPr>
        <w:t xml:space="preserve">CCDR predicts ZT improvement by engineering grain boundaries with θ = 30° misorientation (maximum phonon scattering, minimum electron scattering for hexagonal systems). Specifically for Bi₂Te₃ nanocomposites:</w:t>
      </w:r>
    </w:p>
    <w:p>
      <w:pPr>
        <w:spacing w:before="120" w:after="120"/>
        <w:ind w:left="480"/>
      </w:pPr>
      <w:r>
        <w:rPr>
          <w:rFonts w:ascii="Cambria Math" w:cs="Cambria Math" w:eastAsia="Cambria Math" w:hAnsi="Cambria Math"/>
          <w:i/>
          <w:iCs/>
          <w:sz w:val="21"/>
          <w:szCs w:val="21"/>
        </w:rPr>
        <w:t xml:space="preserve">ZT_optimised / ZT_random ≈ 1 + ε × cos(6 × 30°) = 1 + ε ~ 1.2</w:t>
      </w:r>
      <w:r>
        <w:rPr>
          <w:rFonts w:ascii="Cambria" w:cs="Cambria" w:eastAsia="Cambria" w:hAnsi="Cambria"/>
          <w:sz w:val="21"/>
          <w:szCs w:val="21"/>
        </w:rPr>
        <w:t xml:space="preserve">    (9)</w:t>
      </w:r>
    </w:p>
    <w:p>
      <w:pPr>
        <w:spacing w:after="90" w:line="260"/>
        <w:jc w:val="both"/>
      </w:pPr>
      <w:r>
        <w:rPr>
          <w:rFonts w:ascii="Cambria" w:cs="Cambria" w:eastAsia="Cambria" w:hAnsi="Cambria"/>
          <w:sz w:val="21"/>
          <w:szCs w:val="21"/>
        </w:rPr>
        <w:t xml:space="preserve">A ~20% improvement from controlled grain boundary angle alone, with no change in composition.</w:t>
      </w:r>
    </w:p>
    <w:p>
      <w:pPr>
        <w:pStyle w:val="Heading2"/>
        <w:spacing w:before="220" w:after="110"/>
      </w:pPr>
      <w:r>
        <w:rPr>
          <w:rFonts w:ascii="Cambria" w:cs="Cambria" w:eastAsia="Cambria" w:hAnsi="Cambria"/>
          <w:b/>
          <w:bCs/>
          <w:i/>
          <w:iCs/>
          <w:sz w:val="23"/>
          <w:szCs w:val="23"/>
        </w:rPr>
        <w:t xml:space="preserve">3.8 Materials Predictions (MAT1–MAT10)</w:t>
      </w:r>
    </w:p>
    <w:p>
      <w:pPr>
        <w:spacing w:after="90" w:line="260"/>
        <w:jc w:val="both"/>
      </w:pPr>
      <w:r>
        <w:rPr>
          <w:rFonts w:ascii="Cambria" w:cs="Cambria" w:eastAsia="Cambria" w:hAnsi="Cambria"/>
          <w:b/>
          <w:bCs/>
          <w:sz w:val="21"/>
          <w:szCs w:val="21"/>
        </w:rPr>
        <w:t xml:space="preserve">MAT1: </w:t>
      </w:r>
      <w:r>
        <w:rPr>
          <w:rFonts w:ascii="Cambria" w:cs="Cambria" w:eastAsia="Cambria" w:hAnsi="Cambria"/>
          <w:sz w:val="21"/>
          <w:szCs w:val="21"/>
        </w:rPr>
        <w:t xml:space="preserve">κ(T) = κ₀ × μ(λ/L_grain) with CCDR μ(x), differs 5–15% from Casimir. Testable 1–50 K.</w:t>
      </w:r>
    </w:p>
    <w:p>
      <w:pPr>
        <w:spacing w:after="90" w:line="260"/>
        <w:jc w:val="both"/>
      </w:pPr>
      <w:r>
        <w:rPr>
          <w:rFonts w:ascii="Cambria" w:cs="Cambria" w:eastAsia="Cambria" w:hAnsi="Cambria"/>
          <w:b/>
          <w:bCs/>
          <w:sz w:val="21"/>
          <w:szCs w:val="21"/>
        </w:rPr>
        <w:t xml:space="preserve">MAT2: </w:t>
      </w:r>
      <w:r>
        <w:rPr>
          <w:rFonts w:ascii="Cambria" w:cs="Cambria" w:eastAsia="Cambria" w:hAnsi="Cambria"/>
          <w:sz w:val="21"/>
          <w:szCs w:val="21"/>
        </w:rPr>
        <w:t xml:space="preserve">cos(6θ) angular dependence of grain boundary phonon transmission.</w:t>
      </w:r>
    </w:p>
    <w:p>
      <w:pPr>
        <w:spacing w:after="90" w:line="260"/>
        <w:jc w:val="both"/>
      </w:pPr>
      <w:r>
        <w:rPr>
          <w:rFonts w:ascii="Cambria" w:cs="Cambria" w:eastAsia="Cambria" w:hAnsi="Cambria"/>
          <w:b/>
          <w:bCs/>
          <w:sz w:val="21"/>
          <w:szCs w:val="21"/>
        </w:rPr>
        <w:t xml:space="preserve">MAT3: </w:t>
      </w:r>
      <w:r>
        <w:rPr>
          <w:rFonts w:ascii="Cambria" w:cs="Cambria" w:eastAsia="Cambria" w:hAnsi="Cambria"/>
          <w:sz w:val="21"/>
          <w:szCs w:val="21"/>
        </w:rPr>
        <w:t xml:space="preserve">κ ~ T^{1/2} in nanocrystalline materials at low T (vs κ ~ L_grain standard).</w:t>
      </w:r>
    </w:p>
    <w:p>
      <w:pPr>
        <w:spacing w:after="90" w:line="260"/>
        <w:jc w:val="both"/>
      </w:pPr>
      <w:r>
        <w:rPr>
          <w:rFonts w:ascii="Cambria" w:cs="Cambria" w:eastAsia="Cambria" w:hAnsi="Cambria"/>
          <w:b/>
          <w:bCs/>
          <w:sz w:val="21"/>
          <w:szCs w:val="21"/>
        </w:rPr>
        <w:t xml:space="preserve">MAT4: </w:t>
      </w:r>
      <w:r>
        <w:rPr>
          <w:rFonts w:ascii="Cambria" w:cs="Cambria" w:eastAsia="Cambria" w:hAnsi="Cambria"/>
          <w:sz w:val="21"/>
          <w:szCs w:val="21"/>
        </w:rPr>
        <w:t xml:space="preserve">~20% ZT improvement in Bi₂Te₃ with θ = 30° boundaries.</w:t>
      </w:r>
    </w:p>
    <w:p>
      <w:pPr>
        <w:spacing w:after="90" w:line="260"/>
        <w:jc w:val="both"/>
      </w:pPr>
      <w:r>
        <w:rPr>
          <w:rFonts w:ascii="Cambria" w:cs="Cambria" w:eastAsia="Cambria" w:hAnsi="Cambria"/>
          <w:b/>
          <w:bCs/>
          <w:sz w:val="21"/>
          <w:szCs w:val="21"/>
        </w:rPr>
        <w:t xml:space="preserve">MAT5: </w:t>
      </w:r>
      <w:r>
        <w:rPr>
          <w:rFonts w:ascii="Cambria" w:cs="Cambria" w:eastAsia="Cambria" w:hAnsi="Cambria"/>
          <w:sz w:val="21"/>
          <w:szCs w:val="21"/>
        </w:rPr>
        <w:t xml:space="preserve">Kibble–Zurek cooling profile produces minimum grain boundary density. Testable via EBSD.</w:t>
      </w:r>
    </w:p>
    <w:p>
      <w:pPr>
        <w:spacing w:after="90" w:line="260"/>
        <w:jc w:val="both"/>
      </w:pPr>
      <w:r>
        <w:rPr>
          <w:rFonts w:ascii="Cambria" w:cs="Cambria" w:eastAsia="Cambria" w:hAnsi="Cambria"/>
          <w:b/>
          <w:bCs/>
          <w:sz w:val="21"/>
          <w:szCs w:val="21"/>
        </w:rPr>
        <w:t xml:space="preserve">MAT6: </w:t>
      </w:r>
      <w:r>
        <w:rPr>
          <w:rFonts w:ascii="Cambria" w:cs="Cambria" w:eastAsia="Cambria" w:hAnsi="Cambria"/>
          <w:sz w:val="21"/>
          <w:szCs w:val="21"/>
        </w:rPr>
        <w:t xml:space="preserve">Isotopically pure diamond κ approaches 3300 W/m/K — theoretical maximum from acoustic-optical orthogonality.</w:t>
      </w:r>
    </w:p>
    <w:p>
      <w:pPr>
        <w:spacing w:after="90" w:line="260"/>
        <w:jc w:val="both"/>
      </w:pPr>
      <w:r>
        <w:rPr>
          <w:rFonts w:ascii="Cambria" w:cs="Cambria" w:eastAsia="Cambria" w:hAnsi="Cambria"/>
          <w:b/>
          <w:bCs/>
          <w:sz w:val="21"/>
          <w:szCs w:val="21"/>
        </w:rPr>
        <w:t xml:space="preserve">MAT7: </w:t>
      </w:r>
      <w:r>
        <w:rPr>
          <w:rFonts w:ascii="Cambria" w:cs="Cambria" w:eastAsia="Cambria" w:hAnsi="Cambria"/>
          <w:sz w:val="21"/>
          <w:szCs w:val="21"/>
        </w:rPr>
        <w:t xml:space="preserve">hBN on Si: simultaneous phononic bandgap + high κ from single design parameter (B/N mass ratio).</w:t>
      </w:r>
    </w:p>
    <w:p>
      <w:pPr>
        <w:spacing w:after="90" w:line="260"/>
        <w:jc w:val="both"/>
      </w:pPr>
      <w:r>
        <w:rPr>
          <w:rFonts w:ascii="Cambria" w:cs="Cambria" w:eastAsia="Cambria" w:hAnsi="Cambria"/>
          <w:b/>
          <w:bCs/>
          <w:sz w:val="21"/>
          <w:szCs w:val="21"/>
        </w:rPr>
        <w:t xml:space="preserve">MAT8: </w:t>
      </w:r>
      <w:r>
        <w:rPr>
          <w:rFonts w:ascii="Cambria" w:cs="Cambria" w:eastAsia="Cambria" w:hAnsi="Cambria"/>
          <w:sz w:val="21"/>
          <w:szCs w:val="21"/>
        </w:rPr>
        <w:t xml:space="preserve">Skyrmion-hosted optical phonon lifetime at RT should exceed 10⁻⁶ s (topological protection).</w:t>
      </w:r>
    </w:p>
    <w:p>
      <w:pPr>
        <w:spacing w:after="90" w:line="260"/>
        <w:jc w:val="both"/>
      </w:pPr>
      <w:r>
        <w:rPr>
          <w:rFonts w:ascii="Cambria" w:cs="Cambria" w:eastAsia="Cambria" w:hAnsi="Cambria"/>
          <w:b/>
          <w:bCs/>
          <w:sz w:val="21"/>
          <w:szCs w:val="21"/>
        </w:rPr>
        <w:t xml:space="preserve">MAT9: </w:t>
      </w:r>
      <w:r>
        <w:rPr>
          <w:rFonts w:ascii="Cambria" w:cs="Cambria" w:eastAsia="Cambria" w:hAnsi="Cambria"/>
          <w:sz w:val="21"/>
          <w:szCs w:val="21"/>
        </w:rPr>
        <w:t xml:space="preserve">Moiré superlattices: twist-angle tunes phononic bandgap frequency, enabling substrate customisation per qubit design.</w:t>
      </w:r>
    </w:p>
    <w:p>
      <w:pPr>
        <w:spacing w:after="90" w:line="260"/>
        <w:jc w:val="both"/>
      </w:pPr>
      <w:r>
        <w:rPr>
          <w:rFonts w:ascii="Cambria" w:cs="Cambria" w:eastAsia="Cambria" w:hAnsi="Cambria"/>
          <w:b/>
          <w:bCs/>
          <w:sz w:val="21"/>
          <w:szCs w:val="21"/>
        </w:rPr>
        <w:t xml:space="preserve">MAT10: </w:t>
      </w:r>
      <w:r>
        <w:rPr>
          <w:rFonts w:ascii="Cambria" w:cs="Cambria" w:eastAsia="Cambria" w:hAnsi="Cambria"/>
          <w:sz w:val="21"/>
          <w:szCs w:val="21"/>
        </w:rPr>
        <w:t xml:space="preserve">Kibble–Zurek exponent ν/(1+ν z) measurable by varying cooling rate and mapping grain size — direct analogue of cosmological defect density measurements.</w:t>
      </w:r>
    </w:p>
    <w:p>
      <w:pPr>
        <w:pStyle w:val="Heading1"/>
        <w:spacing w:before="300" w:after="150"/>
      </w:pPr>
      <w:r>
        <w:rPr>
          <w:rFonts w:ascii="Cambria" w:cs="Cambria" w:eastAsia="Cambria" w:hAnsi="Cambria"/>
          <w:b/>
          <w:bCs/>
          <w:sz w:val="26"/>
          <w:szCs w:val="26"/>
        </w:rPr>
        <w:t xml:space="preserve">Part IV: Electronics and Information Technology</w:t>
      </w:r>
    </w:p>
    <w:p>
      <w:pPr>
        <w:pStyle w:val="Heading2"/>
        <w:spacing w:before="220" w:after="110"/>
      </w:pPr>
      <w:r>
        <w:rPr>
          <w:rFonts w:ascii="Cambria" w:cs="Cambria" w:eastAsia="Cambria" w:hAnsi="Cambria"/>
          <w:b/>
          <w:bCs/>
          <w:i/>
          <w:iCs/>
          <w:sz w:val="23"/>
          <w:szCs w:val="23"/>
        </w:rPr>
        <w:t xml:space="preserve">4.1 Theoretical Foundation: Holographic Information Density</w:t>
      </w:r>
    </w:p>
    <w:p>
      <w:pPr>
        <w:spacing w:after="90" w:line="260"/>
        <w:jc w:val="both"/>
      </w:pPr>
      <w:r>
        <w:rPr>
          <w:rFonts w:ascii="Cambria" w:cs="Cambria" w:eastAsia="Cambria" w:hAnsi="Cambria"/>
          <w:sz w:val="21"/>
          <w:szCs w:val="21"/>
        </w:rPr>
        <w:t xml:space="preserve">In CDT–CCDR–TN, each Planck-area face carries ln D* = 1/4 nats. The maximum information density of any region scales with area (holographic principle), not volume. For bulk-encoded information (all current electronics):</w:t>
      </w:r>
    </w:p>
    <w:p>
      <w:pPr>
        <w:spacing w:before="120" w:after="120"/>
        <w:ind w:left="480"/>
      </w:pPr>
      <w:r>
        <w:rPr>
          <w:rFonts w:ascii="Cambria Math" w:cs="Cambria Math" w:eastAsia="Cambria Math" w:hAnsi="Cambria Math"/>
          <w:i/>
          <w:iCs/>
          <w:sz w:val="21"/>
          <w:szCs w:val="21"/>
        </w:rPr>
        <w:t xml:space="preserve">I_practical = L²/(4l²_pl) (area bound, not volume bound)</w:t>
      </w:r>
      <w:r>
        <w:rPr>
          <w:rFonts w:ascii="Cambria" w:cs="Cambria" w:eastAsia="Cambria" w:hAnsi="Cambria"/>
          <w:sz w:val="21"/>
          <w:szCs w:val="21"/>
        </w:rPr>
        <w:t xml:space="preserve">    (10)</w:t>
      </w:r>
    </w:p>
    <w:p>
      <w:pPr>
        <w:spacing w:after="90" w:line="260"/>
        <w:jc w:val="both"/>
      </w:pPr>
      <w:r>
        <w:rPr>
          <w:rFonts w:ascii="Cambria" w:cs="Cambria" w:eastAsia="Cambria" w:hAnsi="Cambria"/>
          <w:sz w:val="21"/>
          <w:szCs w:val="21"/>
        </w:rPr>
        <w:t xml:space="preserve">The crossover from volume-scaling to area-scaling occurs at device-specific:</w:t>
      </w:r>
    </w:p>
    <w:p>
      <w:pPr>
        <w:spacing w:before="120" w:after="120"/>
        <w:ind w:left="480"/>
      </w:pPr>
      <w:r>
        <w:rPr>
          <w:rFonts w:ascii="Cambria Math" w:cs="Cambria Math" w:eastAsia="Cambria Math" w:hAnsi="Cambria Math"/>
          <w:i/>
          <w:iCs/>
          <w:sz w:val="21"/>
          <w:szCs w:val="21"/>
        </w:rPr>
        <w:t xml:space="preserve">L_crossover ~ l_mfp × (k_BT/E_gap) ~ 10–100 nm for Si at room T</w:t>
      </w:r>
      <w:r>
        <w:rPr>
          <w:rFonts w:ascii="Cambria" w:cs="Cambria" w:eastAsia="Cambria" w:hAnsi="Cambria"/>
          <w:sz w:val="21"/>
          <w:szCs w:val="21"/>
        </w:rPr>
        <w:t xml:space="preserve">    (11)</w:t>
      </w:r>
    </w:p>
    <w:p>
      <w:pPr>
        <w:spacing w:after="90" w:line="260"/>
        <w:jc w:val="both"/>
      </w:pPr>
      <w:r>
        <w:rPr>
          <w:rFonts w:ascii="Cambria" w:cs="Cambria" w:eastAsia="Cambria" w:hAnsi="Cambria"/>
          <w:sz w:val="21"/>
          <w:szCs w:val="21"/>
        </w:rPr>
        <w:t xml:space="preserve">Below L_crossover, miniaturisation yields diminishing returns.</w:t>
      </w:r>
    </w:p>
    <w:p>
      <w:pPr>
        <w:pStyle w:val="Heading2"/>
        <w:spacing w:before="220" w:after="110"/>
      </w:pPr>
      <w:r>
        <w:rPr>
          <w:rFonts w:ascii="Cambria" w:cs="Cambria" w:eastAsia="Cambria" w:hAnsi="Cambria"/>
          <w:b/>
          <w:bCs/>
          <w:i/>
          <w:iCs/>
          <w:sz w:val="23"/>
          <w:szCs w:val="23"/>
        </w:rPr>
        <w:t xml:space="preserve">4.2 Application: 3D Chip Architecture Design Rule</w:t>
      </w:r>
    </w:p>
    <w:p>
      <w:pPr>
        <w:spacing w:after="90" w:line="260"/>
        <w:jc w:val="both"/>
      </w:pPr>
      <w:r>
        <w:rPr>
          <w:rFonts w:ascii="Cambria" w:cs="Cambria" w:eastAsia="Cambria" w:hAnsi="Cambria"/>
          <w:sz w:val="21"/>
          <w:szCs w:val="21"/>
        </w:rPr>
        <w:t xml:space="preserve">Holographic principle → information throughput of 3D stack scales with total inter-layer surface area, not volume. Doubling layers doubles effective capacity only if inter-layer bandwidth scales with area. Current 3D NAND and HBM designs are consistent: performance ~ number of layers (area) ≠ total transistors (volume).</w:t>
      </w:r>
    </w:p>
    <w:p>
      <w:pPr>
        <w:pStyle w:val="Heading2"/>
        <w:spacing w:before="220" w:after="110"/>
      </w:pPr>
      <w:r>
        <w:rPr>
          <w:rFonts w:ascii="Cambria" w:cs="Cambria" w:eastAsia="Cambria" w:hAnsi="Cambria"/>
          <w:b/>
          <w:bCs/>
          <w:i/>
          <w:iCs/>
          <w:sz w:val="23"/>
          <w:szCs w:val="23"/>
        </w:rPr>
        <w:t xml:space="preserve">4.3 Application: CDT-Topology Error-Correcting Memory</w:t>
      </w:r>
    </w:p>
    <w:p>
      <w:pPr>
        <w:spacing w:after="90" w:line="260"/>
        <w:jc w:val="both"/>
      </w:pPr>
      <w:r>
        <w:rPr>
          <w:rFonts w:ascii="Cambria" w:cs="Cambria" w:eastAsia="Cambria" w:hAnsi="Cambria"/>
          <w:sz w:val="21"/>
          <w:szCs w:val="21"/>
        </w:rPr>
        <w:t xml:space="preserve">CDT holographic code adapted for classical ECC: data stored in bulk of TN, parity checks on boundary. Code distance d ~ N^{1/3} provides burst error protection exceeding 2D ECC. Implementation: LDPC code on CDT graph topology.</w:t>
      </w:r>
    </w:p>
    <w:p>
      <w:pPr>
        <w:pStyle w:val="Heading2"/>
        <w:spacing w:before="220" w:after="110"/>
      </w:pPr>
      <w:r>
        <w:rPr>
          <w:rFonts w:ascii="Cambria" w:cs="Cambria" w:eastAsia="Cambria" w:hAnsi="Cambria"/>
          <w:b/>
          <w:bCs/>
          <w:i/>
          <w:iCs/>
          <w:sz w:val="23"/>
          <w:szCs w:val="23"/>
        </w:rPr>
        <w:t xml:space="preserve">4.4 Application: CDT-Derived Landauer Limit Analysis</w:t>
      </w:r>
    </w:p>
    <w:p>
      <w:pPr>
        <w:spacing w:after="90" w:line="260"/>
        <w:jc w:val="both"/>
      </w:pPr>
      <w:r>
        <w:rPr>
          <w:rFonts w:ascii="Cambria" w:cs="Cambria" w:eastAsia="Cambria" w:hAnsi="Cambria"/>
          <w:sz w:val="21"/>
          <w:szCs w:val="21"/>
        </w:rPr>
        <w:t xml:space="preserve">Standard Landauer limit k_BT ln 2 per bit erasure assumes equilibrium encoding. In CDT–CCDR, the time crystal structure means the vacuum ground state is a persistent oscillation. Coupling computation to this oscillation could in principle reduce energy per operation below Landauer. </w:t>
      </w:r>
      <w:r>
        <w:rPr>
          <w:rFonts w:ascii="Cambria" w:cs="Cambria" w:eastAsia="Cambria" w:hAnsi="Cambria"/>
          <w:b/>
          <w:bCs/>
          <w:sz w:val="21"/>
          <w:szCs w:val="21"/>
        </w:rPr>
        <w:t xml:space="preserve">Highly speculative for current technology</w:t>
      </w:r>
      <w:r>
        <w:rPr>
          <w:rFonts w:ascii="Cambria" w:cs="Cambria" w:eastAsia="Cambria" w:hAnsi="Cambria"/>
          <w:sz w:val="21"/>
          <w:szCs w:val="21"/>
        </w:rPr>
        <w:t xml:space="preserve"> but identifies a specific physical mechanism.</w:t>
      </w:r>
    </w:p>
    <w:p>
      <w:pPr>
        <w:pStyle w:val="Heading2"/>
        <w:spacing w:before="220" w:after="110"/>
      </w:pPr>
      <w:r>
        <w:rPr>
          <w:rFonts w:ascii="Cambria" w:cs="Cambria" w:eastAsia="Cambria" w:hAnsi="Cambria"/>
          <w:b/>
          <w:bCs/>
          <w:i/>
          <w:iCs/>
          <w:sz w:val="23"/>
          <w:szCs w:val="23"/>
        </w:rPr>
        <w:t xml:space="preserve">4.5 Application: Tensor Network Hardware Accelerators</w:t>
      </w:r>
    </w:p>
    <w:p>
      <w:pPr>
        <w:spacing w:after="90" w:line="260"/>
        <w:jc w:val="both"/>
      </w:pPr>
      <w:r>
        <w:rPr>
          <w:rFonts w:ascii="Cambria" w:cs="Cambria" w:eastAsia="Cambria" w:hAnsi="Cambria"/>
          <w:sz w:val="21"/>
          <w:szCs w:val="21"/>
        </w:rPr>
        <w:t xml:space="preserve">The CDT tensor network contraction that implements the holographic code is a specific computational operation — a sequence of tensor contractions on an irregular graph. Dedicated hardware (FPGA or ASIC) optimised for this graph structure would accelerate both QEC decoding and classical tensor network simulations. The CDT graph topology is a design specification for custom hardware.</w:t>
      </w:r>
    </w:p>
    <w:p>
      <w:pPr>
        <w:pStyle w:val="Heading2"/>
        <w:spacing w:before="220" w:after="110"/>
      </w:pPr>
      <w:r>
        <w:rPr>
          <w:rFonts w:ascii="Cambria" w:cs="Cambria" w:eastAsia="Cambria" w:hAnsi="Cambria"/>
          <w:b/>
          <w:bCs/>
          <w:i/>
          <w:iCs/>
          <w:sz w:val="23"/>
          <w:szCs w:val="23"/>
        </w:rPr>
        <w:t xml:space="preserve">4.6 Electronics Predictions (EL1–EL8)</w:t>
      </w:r>
    </w:p>
    <w:p>
      <w:pPr>
        <w:spacing w:after="90" w:line="260"/>
        <w:jc w:val="both"/>
      </w:pPr>
      <w:r>
        <w:rPr>
          <w:rFonts w:ascii="Cambria" w:cs="Cambria" w:eastAsia="Cambria" w:hAnsi="Cambria"/>
          <w:b/>
          <w:bCs/>
          <w:sz w:val="21"/>
          <w:szCs w:val="21"/>
        </w:rPr>
        <w:t xml:space="preserve">EL1: </w:t>
      </w:r>
      <w:r>
        <w:rPr>
          <w:rFonts w:ascii="Cambria" w:cs="Cambria" w:eastAsia="Cambria" w:hAnsi="Cambria"/>
          <w:sz w:val="21"/>
          <w:szCs w:val="21"/>
        </w:rPr>
        <w:t xml:space="preserve">3D chip throughput scales with inter-layer area, not volume. Testable against 3D NAND 64/128/256-layer data.</w:t>
      </w:r>
    </w:p>
    <w:p>
      <w:pPr>
        <w:spacing w:after="90" w:line="260"/>
        <w:jc w:val="both"/>
      </w:pPr>
      <w:r>
        <w:rPr>
          <w:rFonts w:ascii="Cambria" w:cs="Cambria" w:eastAsia="Cambria" w:hAnsi="Cambria"/>
          <w:b/>
          <w:bCs/>
          <w:sz w:val="21"/>
          <w:szCs w:val="21"/>
        </w:rPr>
        <w:t xml:space="preserve">EL2: </w:t>
      </w:r>
      <w:r>
        <w:rPr>
          <w:rFonts w:ascii="Cambria" w:cs="Cambria" w:eastAsia="Cambria" w:hAnsi="Cambria"/>
          <w:sz w:val="21"/>
          <w:szCs w:val="21"/>
        </w:rPr>
        <w:t xml:space="preserve">CDT-topology ECC: burst error protection ~ N^{1/3}. Testable: simulate CDT-graph LDPC.</w:t>
      </w:r>
    </w:p>
    <w:p>
      <w:pPr>
        <w:spacing w:after="90" w:line="260"/>
        <w:jc w:val="both"/>
      </w:pPr>
      <w:r>
        <w:rPr>
          <w:rFonts w:ascii="Cambria" w:cs="Cambria" w:eastAsia="Cambria" w:hAnsi="Cambria"/>
          <w:b/>
          <w:bCs/>
          <w:sz w:val="21"/>
          <w:szCs w:val="21"/>
        </w:rPr>
        <w:t xml:space="preserve">EL3: </w:t>
      </w:r>
      <w:r>
        <w:rPr>
          <w:rFonts w:ascii="Cambria" w:cs="Cambria" w:eastAsia="Cambria" w:hAnsi="Cambria"/>
          <w:sz w:val="21"/>
          <w:szCs w:val="21"/>
        </w:rPr>
        <w:t xml:space="preserve">Volume→area scaling crossover at L ~ 10–100 nm for Si. Testable: information density vs feature size.</w:t>
      </w:r>
    </w:p>
    <w:p>
      <w:pPr>
        <w:spacing w:after="90" w:line="260"/>
        <w:jc w:val="both"/>
      </w:pPr>
      <w:r>
        <w:rPr>
          <w:rFonts w:ascii="Cambria" w:cs="Cambria" w:eastAsia="Cambria" w:hAnsi="Cambria"/>
          <w:b/>
          <w:bCs/>
          <w:sz w:val="21"/>
          <w:szCs w:val="21"/>
        </w:rPr>
        <w:t xml:space="preserve">EL4: </w:t>
      </w:r>
      <w:r>
        <w:rPr>
          <w:rFonts w:ascii="Cambria" w:cs="Cambria" w:eastAsia="Cambria" w:hAnsi="Cambria"/>
          <w:sz w:val="21"/>
          <w:szCs w:val="21"/>
        </w:rPr>
        <w:t xml:space="preserve">CDT code wins at &gt; 10⁵ qubits for correlated noise. Testable: QEC simulation.</w:t>
      </w:r>
    </w:p>
    <w:p>
      <w:pPr>
        <w:spacing w:after="90" w:line="260"/>
        <w:jc w:val="both"/>
      </w:pPr>
      <w:r>
        <w:rPr>
          <w:rFonts w:ascii="Cambria" w:cs="Cambria" w:eastAsia="Cambria" w:hAnsi="Cambria"/>
          <w:b/>
          <w:bCs/>
          <w:sz w:val="21"/>
          <w:szCs w:val="21"/>
        </w:rPr>
        <w:t xml:space="preserve">EL5: </w:t>
      </w:r>
      <w:r>
        <w:rPr>
          <w:rFonts w:ascii="Cambria" w:cs="Cambria" w:eastAsia="Cambria" w:hAnsi="Cambria"/>
          <w:sz w:val="21"/>
          <w:szCs w:val="21"/>
        </w:rPr>
        <w:t xml:space="preserve">TN hardware accelerator for CDT graph topology: ~10× speedup for holographic code decoding vs general-purpose GPU.</w:t>
      </w:r>
    </w:p>
    <w:p>
      <w:pPr>
        <w:spacing w:after="90" w:line="260"/>
        <w:jc w:val="both"/>
      </w:pPr>
      <w:r>
        <w:rPr>
          <w:rFonts w:ascii="Cambria" w:cs="Cambria" w:eastAsia="Cambria" w:hAnsi="Cambria"/>
          <w:b/>
          <w:bCs/>
          <w:sz w:val="21"/>
          <w:szCs w:val="21"/>
        </w:rPr>
        <w:t xml:space="preserve">EL6: </w:t>
      </w:r>
      <w:r>
        <w:rPr>
          <w:rFonts w:ascii="Cambria" w:cs="Cambria" w:eastAsia="Cambria" w:hAnsi="Cambria"/>
          <w:sz w:val="21"/>
          <w:szCs w:val="21"/>
        </w:rPr>
        <w:t xml:space="preserve">CDT-derived LDPC codes should approach capacity for bursty channels (wireless, storage). Testable: information theory simulation.</w:t>
      </w:r>
    </w:p>
    <w:p>
      <w:pPr>
        <w:spacing w:after="90" w:line="260"/>
        <w:jc w:val="both"/>
      </w:pPr>
      <w:r>
        <w:rPr>
          <w:rFonts w:ascii="Cambria" w:cs="Cambria" w:eastAsia="Cambria" w:hAnsi="Cambria"/>
          <w:b/>
          <w:bCs/>
          <w:sz w:val="21"/>
          <w:szCs w:val="21"/>
        </w:rPr>
        <w:t xml:space="preserve">EL7: </w:t>
      </w:r>
      <w:r>
        <w:rPr>
          <w:rFonts w:ascii="Cambria" w:cs="Cambria" w:eastAsia="Cambria" w:hAnsi="Cambria"/>
          <w:sz w:val="21"/>
          <w:szCs w:val="21"/>
        </w:rPr>
        <w:t xml:space="preserve">Neuromorphic computing architectures based on CDT graph topology may show improved energy efficiency for inference tasks.</w:t>
      </w:r>
    </w:p>
    <w:p>
      <w:pPr>
        <w:spacing w:after="90" w:line="260"/>
        <w:jc w:val="both"/>
      </w:pPr>
      <w:r>
        <w:rPr>
          <w:rFonts w:ascii="Cambria" w:cs="Cambria" w:eastAsia="Cambria" w:hAnsi="Cambria"/>
          <w:b/>
          <w:bCs/>
          <w:sz w:val="21"/>
          <w:szCs w:val="21"/>
        </w:rPr>
        <w:t xml:space="preserve">EL8: </w:t>
      </w:r>
      <w:r>
        <w:rPr>
          <w:rFonts w:ascii="Cambria" w:cs="Cambria" w:eastAsia="Cambria" w:hAnsi="Cambria"/>
          <w:sz w:val="21"/>
          <w:szCs w:val="21"/>
        </w:rPr>
        <w:t xml:space="preserve">The holographic area-scaling principle predicts that optical interconnects (surface-of-chip communication) will outperform electronic vias (volume communication) at sub-10nm nodes — consistent with industry trends.</w:t>
      </w:r>
    </w:p>
    <w:p>
      <w:pPr>
        <w:pStyle w:val="Heading1"/>
        <w:spacing w:before="300" w:after="150"/>
      </w:pPr>
      <w:r>
        <w:rPr>
          <w:rFonts w:ascii="Cambria" w:cs="Cambria" w:eastAsia="Cambria" w:hAnsi="Cambria"/>
          <w:b/>
          <w:bCs/>
          <w:sz w:val="26"/>
          <w:szCs w:val="26"/>
        </w:rPr>
        <w:t xml:space="preserve">Part V: The Unified Design Principle</w:t>
      </w:r>
    </w:p>
    <w:p>
      <w:pPr>
        <w:pStyle w:val="Heading2"/>
        <w:spacing w:before="220" w:after="110"/>
      </w:pPr>
      <w:r>
        <w:rPr>
          <w:rFonts w:ascii="Cambria" w:cs="Cambria" w:eastAsia="Cambria" w:hAnsi="Cambria"/>
          <w:b/>
          <w:bCs/>
          <w:i/>
          <w:iCs/>
          <w:sz w:val="23"/>
          <w:szCs w:val="23"/>
        </w:rPr>
        <w:t xml:space="preserve">5.1 The Acoustic–Optical Sector Boundary</w:t>
      </w:r>
    </w:p>
    <w:p>
      <w:pPr>
        <w:spacing w:after="90" w:line="260"/>
        <w:jc w:val="both"/>
      </w:pPr>
      <w:r>
        <w:rPr>
          <w:rFonts w:ascii="Cambria" w:cs="Cambria" w:eastAsia="Cambria" w:hAnsi="Cambria"/>
          <w:sz w:val="21"/>
          <w:szCs w:val="21"/>
        </w:rPr>
        <w:t xml:space="preserve">Across all four domains, CDT–CCDR–TN points to the same engineering territory: the boundary between acoustic (visible, SM) and optical (dark, gravitational) phonon sectors. Standard engineering operates within the acoustic sector. CDT–CCDR identifies the sector boundary as where:</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Viscosity reaches its minimum (KSS) — fusion, fluid dynamics.</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Decoherence is suppressed to its minimum — quantum computing.</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Thermal transport is maximised — materials, cooling.</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Topological protection is exact — memory, error correction.</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Information density follows area law — electronics scaling.</w:t>
      </w:r>
    </w:p>
    <w:p>
      <w:pPr>
        <w:pStyle w:val="Heading2"/>
        <w:spacing w:before="220" w:after="110"/>
      </w:pPr>
      <w:r>
        <w:rPr>
          <w:rFonts w:ascii="Cambria" w:cs="Cambria" w:eastAsia="Cambria" w:hAnsi="Cambria"/>
          <w:b/>
          <w:bCs/>
          <w:i/>
          <w:iCs/>
          <w:sz w:val="23"/>
          <w:szCs w:val="23"/>
        </w:rPr>
        <w:t xml:space="preserve">5.2 The Three-Phase Engineering Programme</w:t>
      </w:r>
    </w:p>
    <w:p>
      <w:pPr>
        <w:spacing w:after="90" w:line="260"/>
        <w:jc w:val="both"/>
      </w:pPr>
      <w:r>
        <w:rPr>
          <w:rFonts w:ascii="Cambria" w:cs="Cambria" w:eastAsia="Cambria" w:hAnsi="Cambria"/>
          <w:b/>
          <w:bCs/>
          <w:sz w:val="21"/>
          <w:szCs w:val="21"/>
        </w:rPr>
        <w:t xml:space="preserve">Phase 1 — Exploit acoustic sector (now, 1–5 years):</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Phononic crystal substrates for qubits (T1 &gt; 1 ms target).</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Kibble–Zurek cooling profiles for alloys and semiconductors.</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KSS-bound tracking as fusion quality metric.</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CDT holographic QEC code simulation.</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3D chip architecture validation against area-scaling principle.</w:t>
      </w:r>
    </w:p>
    <w:p>
      <w:pPr>
        <w:spacing w:after="90" w:line="260"/>
        <w:jc w:val="both"/>
      </w:pPr>
      <w:r>
        <w:rPr>
          <w:rFonts w:ascii="Cambria" w:cs="Cambria" w:eastAsia="Cambria" w:hAnsi="Cambria"/>
          <w:b/>
          <w:bCs/>
          <w:sz w:val="21"/>
          <w:szCs w:val="21"/>
        </w:rPr>
        <w:t xml:space="preserve">Phase 2 — Engineer the sector boundary (5–15 years):</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Magnetic helicity optimisation for ELM suppression in ITER.</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DTC phase qubits with intrinsic error correction at 100+ qubits.</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Skyrmion lattice materials with designed helicity for topological memory.</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CDT holographic code on 1000+ qubit processor.</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TN hardware accelerators.</w:t>
      </w:r>
    </w:p>
    <w:p>
      <w:pPr>
        <w:spacing w:after="90" w:line="260"/>
        <w:jc w:val="both"/>
      </w:pPr>
      <w:r>
        <w:rPr>
          <w:rFonts w:ascii="Cambria" w:cs="Cambria" w:eastAsia="Cambria" w:hAnsi="Cambria"/>
          <w:b/>
          <w:bCs/>
          <w:sz w:val="21"/>
          <w:szCs w:val="21"/>
        </w:rPr>
        <w:t xml:space="preserve">Phase 3 — Access the optical sector (15+ years):</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Dark-sector qubit: H_mag-pinned optical phonon mode.</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Near-zero decoherence processors at T_dS floor.</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Plasma confinement approaching M_KSS = 1.</w:t>
      </w:r>
    </w:p>
    <w:p>
      <w:pPr>
        <w:spacing w:after="60" w:line="252"/>
        <w:ind w:left="360" w:hanging="180"/>
      </w:pPr>
      <w:r>
        <w:rPr>
          <w:rFonts w:ascii="Cambria" w:cs="Cambria" w:eastAsia="Cambria" w:hAnsi="Cambria"/>
          <w:sz w:val="21"/>
          <w:szCs w:val="21"/>
        </w:rPr>
        <w:t xml:space="preserve">• </w:t>
      </w:r>
      <w:r>
        <w:rPr>
          <w:rFonts w:ascii="Cambria" w:cs="Cambria" w:eastAsia="Cambria" w:hAnsi="Cambria"/>
          <w:sz w:val="21"/>
          <w:szCs w:val="21"/>
        </w:rPr>
        <w:t xml:space="preserve">Sub-Landauer computing via time crystal coupling.</w:t>
      </w:r>
    </w:p>
    <w:p>
      <w:pPr>
        <w:pStyle w:val="Heading1"/>
        <w:spacing w:before="300" w:after="150"/>
      </w:pPr>
      <w:r>
        <w:rPr>
          <w:rFonts w:ascii="Cambria" w:cs="Cambria" w:eastAsia="Cambria" w:hAnsi="Cambria"/>
          <w:b/>
          <w:bCs/>
          <w:sz w:val="26"/>
          <w:szCs w:val="26"/>
        </w:rPr>
        <w:t xml:space="preserve">6. Conclusion</w:t>
      </w:r>
    </w:p>
    <w:p>
      <w:pPr>
        <w:spacing w:after="90" w:line="260"/>
        <w:jc w:val="both"/>
      </w:pPr>
      <w:r>
        <w:rPr>
          <w:rFonts w:ascii="Cambria" w:cs="Cambria" w:eastAsia="Cambria" w:hAnsi="Cambria"/>
          <w:sz w:val="21"/>
          <w:szCs w:val="21"/>
        </w:rPr>
        <w:t xml:space="preserve">CDT–CCDR–TN Engineering generates </w:t>
      </w:r>
      <w:r>
        <w:rPr>
          <w:rFonts w:ascii="Cambria" w:cs="Cambria" w:eastAsia="Cambria" w:hAnsi="Cambria"/>
          <w:b/>
          <w:bCs/>
          <w:sz w:val="21"/>
          <w:szCs w:val="21"/>
        </w:rPr>
        <w:t xml:space="preserve">thirty-two quantitative predictions</w:t>
      </w:r>
      <w:r>
        <w:rPr>
          <w:rFonts w:ascii="Cambria" w:cs="Cambria" w:eastAsia="Cambria" w:hAnsi="Cambria"/>
          <w:sz w:val="21"/>
          <w:szCs w:val="21"/>
        </w:rPr>
        <w:t xml:space="preserve"> across four technology domains: fusion (FR1–FR8), quantum computing (QC1–QC10), materials (MAT1–MAT10), and electronics (EL1–EL8). The most immediately testable: CDT holographic QEC simulation (QC1–QC4, testable this week), cryogenic grain boundary κ measurements (MAT1, existing equipment), Kibble–Zurek cooling profiles (MAT5, existing furnaces), and 3D chip area-scaling validation (EL1, existing data).</w:t>
      </w:r>
    </w:p>
    <w:p>
      <w:pPr>
        <w:spacing w:after="90" w:line="260"/>
        <w:jc w:val="both"/>
      </w:pPr>
      <w:r>
        <w:rPr>
          <w:rFonts w:ascii="Cambria" w:cs="Cambria" w:eastAsia="Cambria" w:hAnsi="Cambria"/>
          <w:sz w:val="21"/>
          <w:szCs w:val="21"/>
        </w:rPr>
        <w:t xml:space="preserve">The most impactful if confirmed: parameter-free fusion edge transport model (FR1–FR3), which could provide the first theoretically grounded prediction for tokamak edge physics; and the CDT holographic QEC code (QC1–QC4), which could define a new class of quantum error correction with superior burst error protection.</w:t>
      </w:r>
    </w:p>
    <w:p>
      <w:pPr>
        <w:spacing w:after="90" w:line="260"/>
        <w:jc w:val="both"/>
      </w:pPr>
      <w:r>
        <w:rPr>
          <w:rFonts w:ascii="Cambria" w:cs="Cambria" w:eastAsia="Cambria" w:hAnsi="Cambria"/>
          <w:sz w:val="21"/>
          <w:szCs w:val="21"/>
        </w:rPr>
        <w:t xml:space="preserve">The underlying principle across all domains: information, geometry, and transport are connected through the crystallographic structure of spacetime. The applications follow from running cosmological crystal physics backward — applying universe-as-crystal insights to engineering crystals, plasmas, codes, and circuits.</w:t>
      </w:r>
    </w:p>
    <w:p>
      <w:pPr>
        <w:spacing w:after="90" w:line="260"/>
        <w:jc w:val="both"/>
      </w:pPr>
      <w:r>
        <w:rPr>
          <w:rFonts w:ascii="Cambria" w:cs="Cambria" w:eastAsia="Cambria" w:hAnsi="Cambria"/>
          <w:b/>
          <w:bCs/>
          <w:i/>
          <w:iCs/>
          <w:sz w:val="21"/>
          <w:szCs w:val="21"/>
        </w:rPr>
        <w:t xml:space="preserve">Ball lightning has been touching the acoustic–optical sector boundary for as long as there have been thunderstorms. The engineering challenge is to do it deliberately.</w:t>
      </w:r>
    </w:p>
    <w:p>
      <w:pPr>
        <w:pStyle w:val="Heading1"/>
        <w:spacing w:before="300" w:after="150"/>
      </w:pPr>
      <w:r>
        <w:rPr>
          <w:rFonts w:ascii="Cambria" w:cs="Cambria" w:eastAsia="Cambria" w:hAnsi="Cambria"/>
          <w:b/>
          <w:bCs/>
          <w:sz w:val="26"/>
          <w:szCs w:val="26"/>
        </w:rPr>
        <w:t xml:space="preserve">References</w:t>
      </w:r>
    </w:p>
    <w:p>
      <w:pPr>
        <w:spacing w:after="90" w:line="260"/>
        <w:jc w:val="both"/>
      </w:pPr>
      <w:r>
        <w:rPr>
          <w:rFonts w:ascii="Cambria" w:cs="Cambria" w:eastAsia="Cambria" w:hAnsi="Cambria"/>
          <w:b/>
          <w:bCs/>
          <w:sz w:val="21"/>
          <w:szCs w:val="21"/>
        </w:rPr>
        <w:t xml:space="preserve">[1] </w:t>
      </w:r>
      <w:r>
        <w:rPr>
          <w:rFonts w:ascii="Cambria" w:cs="Cambria" w:eastAsia="Cambria" w:hAnsi="Cambria"/>
          <w:sz w:val="21"/>
          <w:szCs w:val="21"/>
        </w:rPr>
        <w:t xml:space="preserve">Kovtun, Son &amp; Starinets (2005). Phys. Rev. Lett. 94, 111601.</w:t>
      </w:r>
    </w:p>
    <w:p>
      <w:pPr>
        <w:spacing w:after="90" w:line="260"/>
        <w:jc w:val="both"/>
      </w:pPr>
      <w:r>
        <w:rPr>
          <w:rFonts w:ascii="Cambria" w:cs="Cambria" w:eastAsia="Cambria" w:hAnsi="Cambria"/>
          <w:b/>
          <w:bCs/>
          <w:sz w:val="21"/>
          <w:szCs w:val="21"/>
        </w:rPr>
        <w:t xml:space="preserve">[2] </w:t>
      </w:r>
      <w:r>
        <w:rPr>
          <w:rFonts w:ascii="Cambria" w:cs="Cambria" w:eastAsia="Cambria" w:hAnsi="Cambria"/>
          <w:sz w:val="21"/>
          <w:szCs w:val="21"/>
        </w:rPr>
        <w:t xml:space="preserve">Almheiri, Dong &amp; Harlow (2015). JHEP 04, 163.</w:t>
      </w:r>
    </w:p>
    <w:p>
      <w:pPr>
        <w:spacing w:after="90" w:line="260"/>
        <w:jc w:val="both"/>
      </w:pPr>
      <w:r>
        <w:rPr>
          <w:rFonts w:ascii="Cambria" w:cs="Cambria" w:eastAsia="Cambria" w:hAnsi="Cambria"/>
          <w:b/>
          <w:bCs/>
          <w:sz w:val="21"/>
          <w:szCs w:val="21"/>
        </w:rPr>
        <w:t xml:space="preserve">[3] </w:t>
      </w:r>
      <w:r>
        <w:rPr>
          <w:rFonts w:ascii="Cambria" w:cs="Cambria" w:eastAsia="Cambria" w:hAnsi="Cambria"/>
          <w:sz w:val="21"/>
          <w:szCs w:val="21"/>
        </w:rPr>
        <w:t xml:space="preserve">Ryu &amp; Takayanagi (2006). Phys. Rev. Lett. 96, 181602.</w:t>
      </w:r>
    </w:p>
    <w:p>
      <w:pPr>
        <w:spacing w:after="90" w:line="260"/>
        <w:jc w:val="both"/>
      </w:pPr>
      <w:r>
        <w:rPr>
          <w:rFonts w:ascii="Cambria" w:cs="Cambria" w:eastAsia="Cambria" w:hAnsi="Cambria"/>
          <w:b/>
          <w:bCs/>
          <w:sz w:val="21"/>
          <w:szCs w:val="21"/>
        </w:rPr>
        <w:t xml:space="preserve">[4] </w:t>
      </w:r>
      <w:r>
        <w:rPr>
          <w:rFonts w:ascii="Cambria" w:cs="Cambria" w:eastAsia="Cambria" w:hAnsi="Cambria"/>
          <w:sz w:val="21"/>
          <w:szCs w:val="21"/>
        </w:rPr>
        <w:t xml:space="preserve">Mi, X. et al. (2021). Nature 601, 531.</w:t>
      </w:r>
    </w:p>
    <w:p>
      <w:pPr>
        <w:spacing w:after="90" w:line="260"/>
        <w:jc w:val="both"/>
      </w:pPr>
      <w:r>
        <w:rPr>
          <w:rFonts w:ascii="Cambria" w:cs="Cambria" w:eastAsia="Cambria" w:hAnsi="Cambria"/>
          <w:b/>
          <w:bCs/>
          <w:sz w:val="21"/>
          <w:szCs w:val="21"/>
        </w:rPr>
        <w:t xml:space="preserve">[5] </w:t>
      </w:r>
      <w:r>
        <w:rPr>
          <w:rFonts w:ascii="Cambria" w:cs="Cambria" w:eastAsia="Cambria" w:hAnsi="Cambria"/>
          <w:sz w:val="21"/>
          <w:szCs w:val="21"/>
        </w:rPr>
        <w:t xml:space="preserve">Ambjørn, Jurkiewicz &amp; Loll (2005). Phys. Rev. Lett. 95, 171301.</w:t>
      </w:r>
    </w:p>
    <w:p>
      <w:pPr>
        <w:spacing w:after="90" w:line="260"/>
        <w:jc w:val="both"/>
      </w:pPr>
      <w:r>
        <w:rPr>
          <w:rFonts w:ascii="Cambria" w:cs="Cambria" w:eastAsia="Cambria" w:hAnsi="Cambria"/>
          <w:b/>
          <w:bCs/>
          <w:sz w:val="21"/>
          <w:szCs w:val="21"/>
        </w:rPr>
        <w:t xml:space="preserve">[6] </w:t>
      </w:r>
      <w:r>
        <w:rPr>
          <w:rFonts w:ascii="Cambria" w:cs="Cambria" w:eastAsia="Cambria" w:hAnsi="Cambria"/>
          <w:sz w:val="21"/>
          <w:szCs w:val="21"/>
        </w:rPr>
        <w:t xml:space="preserve">Hayden et al. (2016). JHEP 11, 009.</w:t>
      </w:r>
    </w:p>
    <w:p>
      <w:pPr>
        <w:spacing w:after="90" w:line="260"/>
        <w:jc w:val="both"/>
      </w:pPr>
      <w:r>
        <w:rPr>
          <w:rFonts w:ascii="Cambria" w:cs="Cambria" w:eastAsia="Cambria" w:hAnsi="Cambria"/>
          <w:b/>
          <w:bCs/>
          <w:sz w:val="21"/>
          <w:szCs w:val="21"/>
        </w:rPr>
        <w:t xml:space="preserve">[7] </w:t>
      </w:r>
      <w:r>
        <w:rPr>
          <w:rFonts w:ascii="Cambria" w:cs="Cambria" w:eastAsia="Cambria" w:hAnsi="Cambria"/>
          <w:sz w:val="21"/>
          <w:szCs w:val="21"/>
        </w:rPr>
        <w:t xml:space="preserve">Landauer, R. (1961). IBM J. Res. Dev. 5, 183.</w:t>
      </w:r>
    </w:p>
    <w:p>
      <w:pPr>
        <w:spacing w:after="90" w:line="260"/>
        <w:jc w:val="both"/>
      </w:pPr>
      <w:r>
        <w:rPr>
          <w:rFonts w:ascii="Cambria" w:cs="Cambria" w:eastAsia="Cambria" w:hAnsi="Cambria"/>
          <w:b/>
          <w:bCs/>
          <w:sz w:val="21"/>
          <w:szCs w:val="21"/>
        </w:rPr>
        <w:t xml:space="preserve">[8] </w:t>
      </w:r>
      <w:r>
        <w:rPr>
          <w:rFonts w:ascii="Cambria" w:cs="Cambria" w:eastAsia="Cambria" w:hAnsi="Cambria"/>
          <w:sz w:val="21"/>
          <w:szCs w:val="21"/>
        </w:rPr>
        <w:t xml:space="preserve">Bekenstein, J.D. (1981). Phys. Rev. D 23, 287.</w:t>
      </w:r>
    </w:p>
    <w:p>
      <w:pPr>
        <w:spacing w:after="90" w:line="260"/>
        <w:jc w:val="both"/>
      </w:pPr>
      <w:r>
        <w:rPr>
          <w:rFonts w:ascii="Cambria" w:cs="Cambria" w:eastAsia="Cambria" w:hAnsi="Cambria"/>
          <w:b/>
          <w:bCs/>
          <w:sz w:val="21"/>
          <w:szCs w:val="21"/>
        </w:rPr>
        <w:t xml:space="preserve">[9] </w:t>
      </w:r>
      <w:r>
        <w:rPr>
          <w:rFonts w:ascii="Cambria" w:cs="Cambria" w:eastAsia="Cambria" w:hAnsi="Cambria"/>
          <w:sz w:val="21"/>
          <w:szCs w:val="21"/>
        </w:rPr>
        <w:t xml:space="preserve">Fowler et al. (2012). Phys. Rev. A 86, 032324.</w:t>
      </w:r>
    </w:p>
    <w:p>
      <w:pPr>
        <w:spacing w:after="90" w:line="260"/>
        <w:jc w:val="both"/>
      </w:pPr>
      <w:r>
        <w:rPr>
          <w:rFonts w:ascii="Cambria" w:cs="Cambria" w:eastAsia="Cambria" w:hAnsi="Cambria"/>
          <w:b/>
          <w:bCs/>
          <w:sz w:val="21"/>
          <w:szCs w:val="21"/>
        </w:rPr>
        <w:t xml:space="preserve">[10] </w:t>
      </w:r>
      <w:r>
        <w:rPr>
          <w:rFonts w:ascii="Cambria" w:cs="Cambria" w:eastAsia="Cambria" w:hAnsi="Cambria"/>
          <w:sz w:val="21"/>
          <w:szCs w:val="21"/>
        </w:rPr>
        <w:t xml:space="preserve">Wagner, F. (2007). Plasma Phys. Control. Fusion 49, B1.</w:t>
      </w:r>
    </w:p>
    <w:p>
      <w:pPr>
        <w:spacing w:after="90" w:line="260"/>
        <w:jc w:val="both"/>
      </w:pPr>
      <w:r>
        <w:rPr>
          <w:rFonts w:ascii="Cambria" w:cs="Cambria" w:eastAsia="Cambria" w:hAnsi="Cambria"/>
          <w:b/>
          <w:bCs/>
          <w:sz w:val="21"/>
          <w:szCs w:val="21"/>
        </w:rPr>
        <w:t xml:space="preserve">[11] </w:t>
      </w:r>
      <w:r>
        <w:rPr>
          <w:rFonts w:ascii="Cambria" w:cs="Cambria" w:eastAsia="Cambria" w:hAnsi="Cambria"/>
          <w:sz w:val="21"/>
          <w:szCs w:val="21"/>
        </w:rPr>
        <w:t xml:space="preserve">Cahill, D.G. et al. (2014). Appl. Phys. Rev. 1, 011305.</w:t>
      </w:r>
    </w:p>
    <w:p>
      <w:pPr>
        <w:spacing w:after="90" w:line="260"/>
        <w:jc w:val="both"/>
      </w:pPr>
      <w:r>
        <w:rPr>
          <w:rFonts w:ascii="Cambria" w:cs="Cambria" w:eastAsia="Cambria" w:hAnsi="Cambria"/>
          <w:b/>
          <w:bCs/>
          <w:sz w:val="21"/>
          <w:szCs w:val="21"/>
        </w:rPr>
        <w:t xml:space="preserve">[12] </w:t>
      </w:r>
      <w:r>
        <w:rPr>
          <w:rFonts w:ascii="Cambria" w:cs="Cambria" w:eastAsia="Cambria" w:hAnsi="Cambria"/>
          <w:sz w:val="21"/>
          <w:szCs w:val="21"/>
        </w:rPr>
        <w:t xml:space="preserve">Zurek, W.H. (1985). Nature 317, 505.</w:t>
      </w:r>
    </w:p>
    <w:p>
      <w:pPr>
        <w:spacing w:after="90" w:line="260"/>
        <w:jc w:val="both"/>
      </w:pPr>
      <w:r>
        <w:rPr>
          <w:rFonts w:ascii="Cambria" w:cs="Cambria" w:eastAsia="Cambria" w:hAnsi="Cambria"/>
          <w:b/>
          <w:bCs/>
          <w:sz w:val="21"/>
          <w:szCs w:val="21"/>
        </w:rPr>
        <w:t xml:space="preserve">[13] </w:t>
      </w:r>
      <w:r>
        <w:rPr>
          <w:rFonts w:ascii="Cambria" w:cs="Cambria" w:eastAsia="Cambria" w:hAnsi="Cambria"/>
          <w:sz w:val="21"/>
          <w:szCs w:val="21"/>
        </w:rPr>
        <w:t xml:space="preserve">Solà (2013). J. Phys. Conf. Ser. 453, 012015.</w:t>
      </w:r>
    </w:p>
    <w:p>
      <w:pPr>
        <w:spacing w:after="90" w:line="260"/>
        <w:jc w:val="both"/>
      </w:pPr>
      <w:r>
        <w:rPr>
          <w:rFonts w:ascii="Cambria" w:cs="Cambria" w:eastAsia="Cambria" w:hAnsi="Cambria"/>
          <w:b/>
          <w:bCs/>
          <w:sz w:val="21"/>
          <w:szCs w:val="21"/>
        </w:rPr>
        <w:t xml:space="preserve">[14] </w:t>
      </w:r>
      <w:r>
        <w:rPr>
          <w:rFonts w:ascii="Cambria" w:cs="Cambria" w:eastAsia="Cambria" w:hAnsi="Cambria"/>
          <w:sz w:val="21"/>
          <w:szCs w:val="21"/>
        </w:rPr>
        <w:t xml:space="preserve">Mühlbauer, S. et al. (2009). Skyrmion lattice in a chiral magnet. Science 323, 915.</w:t>
      </w:r>
    </w:p>
    <w:sectPr>
      <w:pgSz w:w="12240" w:h="15840" w:orient="portrait"/>
      <w:pgMar w:top="1300" w:right="1200" w:bottom="13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Cambria" w:cs="Cambria" w:eastAsia="Cambria" w:hAnsi="Cambria"/>
      <w:b/>
      <w:bCs/>
      <w:sz w:val="26"/>
      <w:szCs w:val="26"/>
    </w:rPr>
  </w:style>
  <w:style w:type="paragraph" w:styleId="Heading2">
    <w:name w:val="Heading 2"/>
    <w:basedOn w:val="Normal"/>
    <w:next w:val="Normal"/>
    <w:qFormat/>
    <w:pPr>
      <w:spacing w:before="220" w:after="110"/>
      <w:outlineLvl w:val="1"/>
    </w:pPr>
    <w:rPr>
      <w:rFonts w:ascii="Cambria" w:cs="Cambria" w:eastAsia="Cambria" w:hAnsi="Cambria"/>
      <w:b/>
      <w:bCs/>
      <w:i/>
      <w:iCs/>
      <w:sz w:val="23"/>
      <w:szCs w:val="23"/>
    </w:rPr>
  </w:style>
  <w:style w:type="paragraph" w:styleId="Heading3">
    <w:name w:val="Heading 3"/>
    <w:basedOn w:val="Normal"/>
    <w:next w:val="Normal"/>
    <w:qFormat/>
    <w:pPr>
      <w:spacing w:before="180" w:after="90"/>
      <w:outlineLvl w:val="2"/>
    </w:pPr>
    <w:rPr>
      <w:rFonts w:ascii="Cambria" w:cs="Cambria" w:eastAsia="Cambria" w:hAnsi="Cambria"/>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2026-03-26T11:08:48.680Z</dcterms:created>
  <dcterms:modified xsi:type="dcterms:W3CDTF">2026-03-26T11:08:48.681Z</dcterms:modified>
</cp:coreProperties>
</file>

<file path=docProps/custom.xml><?xml version="1.0" encoding="utf-8"?>
<Properties xmlns="http://schemas.openxmlformats.org/officeDocument/2006/custom-properties" xmlns:vt="http://schemas.openxmlformats.org/officeDocument/2006/docPropsVTypes"/>
</file>