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Інженерія CDT–CCDR–TN:</w:t>
      </w:r>
    </w:p>
    <w:p>
      <w:pPr>
        <w:spacing w:after="5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Практичні застосування фізики просторово-часового кристалу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Термоядерні реактори · Квантові комп’ютери · Матеріали · Електроніка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Розширене видання з детальними протоколами проєктування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80"/>
      </w:pP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Виконавче резюме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CDT–CCDR–TN ідентифікує Всесвіт як просторово-часовий кристал з емерджентною голографічною структурою. Видима матерія = акустичний фононний сектор; темна матерія = ортогональний оптичний сектор. Об’єднуючий принцип: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інженерія на межі акустичного та оптичного секторів</w:t>
      </w:r>
      <w:r>
        <w:rPr>
          <w:rFonts w:ascii="Cambria" w:cs="Cambria" w:eastAsia="Cambria" w:hAnsi="Cambria"/>
          <w:sz w:val="21"/>
          <w:szCs w:val="21"/>
        </w:rPr>
        <w:t xml:space="preserve">, де в’язкість мінімальна (КСС), декогеренція пригнічена (ортогональність), теплопровідність максимальна (мінімум міжмодового розсіювання), інформація захищена (голографічне кодування). 32 кількісних передбачення.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I: Термоядерні реактори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1.1 Межа КСС та вимірні фазові межі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η/s = ħ/(4πk_B) ≈ 6.08 × 10⁻¹³ Па·с·м³/Дж</w:t>
      </w:r>
      <w:r>
        <w:rPr>
          <w:rFonts w:ascii="Cambria" w:cs="Cambria" w:eastAsia="Cambria" w:hAnsi="Cambria"/>
          <w:sz w:val="21"/>
          <w:szCs w:val="21"/>
        </w:rPr>
        <w:t xml:space="preserve">    (1)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Насичується кварк-глюонною плазмою. Крайова плазма токамака — вимірна фазова межа (3D → 1D). Поточна крайова в’язкість ~10⁻⁶ Па·с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на 6 порядків вище КСС</w:t>
      </w:r>
      <w:r>
        <w:rPr>
          <w:rFonts w:ascii="Cambria" w:cs="Cambria" w:eastAsia="Cambria" w:hAnsi="Cambria"/>
          <w:sz w:val="21"/>
          <w:szCs w:val="21"/>
        </w:rPr>
        <w:t xml:space="preserve">. М_КСС = η_виміряна/η_КСС — нова безрозмірна міра якості утримання.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1.2 Фононна модова інженерія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Дрейфово-хвильова турбулентність = акустичне міжмодове змішування. Рішення: періодичні стінні плитки з періодом ~ λ_inst.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Для ITER: λ_inst ~ 2–5 см для ІТГ-мод → модуляція 2–5 см.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Умова фононної забороненої зони: k_mod = π/λ_inst.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1.3 КСС як кількісна ціль утримання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χ_min = ħ/(4π m_i) ≈ 1.7 × 10⁻³ м²/с для дейтерію</w:t>
      </w:r>
      <w:r>
        <w:rPr>
          <w:rFonts w:ascii="Cambria" w:cs="Cambria" w:eastAsia="Cambria" w:hAnsi="Cambria"/>
          <w:sz w:val="21"/>
          <w:szCs w:val="21"/>
        </w:rPr>
        <w:t xml:space="preserve">    (3)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Простір для покращення: 100–1000×.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1.4 Пригнічення ELM через контроль магнітної спіральності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H_mag = ∫ A · B d³x ≠ 0 (умова нуклеації ELM)</w:t>
      </w:r>
      <w:r>
        <w:rPr>
          <w:rFonts w:ascii="Cambria" w:cs="Cambria" w:eastAsia="Cambria" w:hAnsi="Cambria"/>
          <w:sz w:val="21"/>
          <w:szCs w:val="21"/>
        </w:rPr>
        <w:t xml:space="preserve">    (4)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Оптимізація РМЗ катушок для мінімізації |H_mag| на сепаратрисі.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Відрізняється від оптимізації q-профілю. Додаткові ступені свободи.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E_ELM ~ P_ped × V × (ΔP/P)² — безпараметрове.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1.5 L–H перехід як фазовий перехід χ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P_ped &lt; B²/(2μ₀) × ν^{2/3} ~ 5–20 кПа для ITER</w:t>
      </w:r>
      <w:r>
        <w:rPr>
          <w:rFonts w:ascii="Cambria" w:cs="Cambria" w:eastAsia="Cambria" w:hAnsi="Cambria"/>
          <w:sz w:val="21"/>
          <w:szCs w:val="21"/>
        </w:rPr>
        <w:t xml:space="preserve">    (5)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1.6 Передбачення (FR1–FR8)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FR1: </w:t>
      </w:r>
      <w:r>
        <w:rPr>
          <w:rFonts w:ascii="Cambria" w:cs="Cambria" w:eastAsia="Cambria" w:hAnsi="Cambria"/>
          <w:sz w:val="21"/>
          <w:szCs w:val="21"/>
        </w:rPr>
        <w:t xml:space="preserve">χ_min = 1.7×10⁻³. FR2: P_ped ~ 5–20 кПа. FR3: E_ELM масштабування. FR4: немонотонна η/s. FR5: фононна заборонена зона. FR6: ELM ~ |H_mag|. FR7: M_КСС ~ τ_E (універсальне). FR8: стелараторний край ближчий до КСС.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II: Квантові комп’ютери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Фононні кристалічні підкладки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Ціль: заборонена зона при 5 ГГц. Період: ~600 нм (Si). Ширина: Δf/f ~ 0.3.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Демонстровано: T1 з ~50 μs до ~300 μs. CCDR: теоретичний T1 обмежений лише нефононними каналами.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Голографічний код CDT–TN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Кодова відстань d ~ N^{1/3} (3D CDT). Локальна виправність з клину заплутаності.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Реалізація: CDT-plusplus → TN → Stim/PyMatching. Досяжно одним дослідником за тижні.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Кубіт темного сектору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Оптичний фонон, закріплений скірміоном (H_mag ≠ 0) в hBN/діаманті/GaN.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Декогеренція: T ~ T_dS ~ 10⁻³⁰ К. За межами поточної технології; проміжний крок — оптично доступні оптичні фонони в топологічних магнетиках.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Кубіти дискретного часового кристалу (DTC)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Кодування у фазі подвоєного періоду. Помилка ~ ε^N (експоненціальне пригнічення).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Google 2021: 20 кубітів, ~100 циклів. CCDR: масштабування до логічного кубіту.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2.5 Передбачення (QC1–QC10)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QC1: d~N^{1/3}. QC2: CDT перевершує при N&gt;10⁵. QC3: p_th~1%. QC4: пакетні помилки. QC5: T1&gt;1 мс. QC6: T~10⁻³⁰ К. QC7: DTC &lt;10⁻⁶ при N&gt;100. QC8: Si T2&gt;10 с. QC9: поріг для корельованого шуму. QC10: муарові підкладки.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III: Матеріали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Кіббл–Зурек оптимальна обробка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ξ(τ_Q) ~ ξ₀ × (τ_Q/τ₀)^{ν/(1+ν z)}</w:t>
      </w:r>
      <w:r>
        <w:rPr>
          <w:rFonts w:ascii="Cambria" w:cs="Cambria" w:eastAsia="Cambria" w:hAnsi="Cambria"/>
          <w:sz w:val="21"/>
          <w:szCs w:val="21"/>
        </w:rPr>
        <w:t xml:space="preserve">    (6)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Оптимальний профіль: dT/dt = (T−T_c)/(τ₀ × (ξ/ξ₀)^{(1+ν z)/ν}). Не лінійний, не експоненціальний.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Для: Ni суперсплави (турбіни), Si (фотовольтаїка), Al сплави (авіакосмос).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CCDR теплопровідність через межі зерен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κ(T) = κ₀(T) × μ(λ/L_grain), μ(x) = x/(1+x)^{1/2}</w:t>
      </w:r>
      <w:r>
        <w:rPr>
          <w:rFonts w:ascii="Cambria" w:cs="Cambria" w:eastAsia="Cambria" w:hAnsi="Cambria"/>
          <w:sz w:val="21"/>
          <w:szCs w:val="21"/>
        </w:rPr>
        <w:t xml:space="preserve">    (7)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Безпараметрове. Відрізняється від Казімірної моделі на 5–15%.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3.3 Гексагональна кутова залежність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T(θ) = cos²(θ/2) × [1 + ε cos(6θ)]</w:t>
      </w:r>
      <w:r>
        <w:rPr>
          <w:rFonts w:ascii="Cambria" w:cs="Cambria" w:eastAsia="Cambria" w:hAnsi="Cambria"/>
          <w:sz w:val="21"/>
          <w:szCs w:val="21"/>
        </w:rPr>
        <w:t xml:space="preserve">    (8)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cos(6θ) — відсутній у стандартних моделях. θ = 30°: аномально висока трансмісія.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3.4 Термоелектрична оптимізація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ZT_opt / ZT_random ≈ 1.2 (~20% покращення)</w:t>
      </w:r>
      <w:r>
        <w:rPr>
          <w:rFonts w:ascii="Cambria" w:cs="Cambria" w:eastAsia="Cambria" w:hAnsi="Cambria"/>
          <w:sz w:val="21"/>
          <w:szCs w:val="21"/>
        </w:rPr>
        <w:t xml:space="preserve">    (9)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Для Bi₂Te₃ з контрольованими кутами меж зерен.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3.5 Скірміонні ґратки як квантова пам’ять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MnSi, FeGe, Co-Zn-Mn: кімнатна температура. Cu₂OSeO₃: ізолятор.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Функціонально: кімнатно-температурний біт квантової пам’яті.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3.6 Передбачення (MAT1–MAT10)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MAT1: κ з μ(x). MAT2: cos(6θ). MAT3: κ~T^{1/2} у нанокристалах. MAT4: ZT+20%. MAT5: Кіббл–Зурек профіль. MAT6: діамант 3300 Вт/м/К. MAT7: hBN на Si. MAT8: скірміонний час &gt; 10⁻⁶ с при 300 К. MAT9: муарові підкладки. MAT10: показник ν/(1+ν z).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IV: Електроніка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4.1 Голографічна межа густини інформації</w:t>
      </w:r>
    </w:p>
    <w:p>
      <w:pPr>
        <w:spacing w:before="120" w:after="120"/>
        <w:ind w:left="48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I_practical = L²/(4l²_pl); L_crossover ~ 10–100 нм для Si</w:t>
      </w:r>
      <w:r>
        <w:rPr>
          <w:rFonts w:ascii="Cambria" w:cs="Cambria" w:eastAsia="Cambria" w:hAnsi="Cambria"/>
          <w:sz w:val="21"/>
          <w:szCs w:val="21"/>
        </w:rPr>
        <w:t xml:space="preserve">    (10–11)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4.2 Правило проєктування 3D чіпів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Пропускна здатність ~ площа міжшарових інтерфейсів, не об’єм.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4.3 CDT-топологічна ECC пам’ять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d ~ N^{1/3} для пакетних помилок. LDPC на графі CDT.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4.4 Аналіз межі Ландауера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Зв’язок обчислень з осциляцією часового кристалу — спекулятивно.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4.5 TN апаратні прискорювачі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FPGA/ASIC оптимізований для графа CDT. ~10× прискорення декодування.</w:t>
      </w:r>
    </w:p>
    <w:p>
      <w:pPr>
        <w:pStyle w:val="Heading2"/>
        <w:spacing w:before="220" w:after="11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4.6 Передбачення (EL1–EL8)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EL1: 3D = площа. EL2: CDT ECC N^{1/3}. EL3: перехід 10–100 нм. EL4: &gt;10⁵ кубітів. EL5: TN прискорювач 10×. EL6: CDT LDPC для пакетних каналів. EL7: нейроморфні CDT-графи. EL8: оптичні інтерконекти &gt; електронних via &lt; 10 нм.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V: Об’єднуючий принцип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Межа між акустичним та оптичним секторами: мінімум в’язкості (КСС), мінімум декогеренції, максимум теплопровідності, точний топологічний захист, площинний закон інформації.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Фаза 1 (зараз, 1–5 років): </w:t>
      </w:r>
      <w:r>
        <w:rPr>
          <w:rFonts w:ascii="Cambria" w:cs="Cambria" w:eastAsia="Cambria" w:hAnsi="Cambria"/>
          <w:sz w:val="21"/>
          <w:szCs w:val="21"/>
        </w:rPr>
        <w:t xml:space="preserve">фононні підкладки, Кіббл–Зурек, КСС-метрика, CDT QEC, 3D чіпи.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Фаза 2 (5–15 років): </w:t>
      </w:r>
      <w:r>
        <w:rPr>
          <w:rFonts w:ascii="Cambria" w:cs="Cambria" w:eastAsia="Cambria" w:hAnsi="Cambria"/>
          <w:sz w:val="21"/>
          <w:szCs w:val="21"/>
        </w:rPr>
        <w:t xml:space="preserve">H_mag для ELM, DTC кубіти, скірміонна пам’ять, CDT-код на 1000+ кубітах.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Фаза 3 (15+ років): </w:t>
      </w:r>
      <w:r>
        <w:rPr>
          <w:rFonts w:ascii="Cambria" w:cs="Cambria" w:eastAsia="Cambria" w:hAnsi="Cambria"/>
          <w:sz w:val="21"/>
          <w:szCs w:val="21"/>
        </w:rPr>
        <w:t xml:space="preserve">кубіт темного сектору, М_КСС = 1, суб-Ландауер.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Висновок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32 кількісних передбачення</w:t>
      </w:r>
      <w:r>
        <w:rPr>
          <w:rFonts w:ascii="Cambria" w:cs="Cambria" w:eastAsia="Cambria" w:hAnsi="Cambria"/>
          <w:sz w:val="21"/>
          <w:szCs w:val="21"/>
        </w:rPr>
        <w:t xml:space="preserve"> у 4 доменах: термояд (FR1–FR8), квантові комп’ютери (QC1–QC10), матеріали (MAT1–MAT10), електроніка (EL1–EL8). Найбільш негайно тестовані: CDT QEC симуляція (цього тижня), кріогенна κ (існуюче обладнання), Кіббл–Зурек профілі (існуючі печі), масштабування 3D NAND (існуючі дані).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b/>
          <w:bCs/>
          <w:i/>
          <w:iCs/>
          <w:sz w:val="21"/>
          <w:szCs w:val="21"/>
        </w:rPr>
        <w:t xml:space="preserve">Кульова блискавка торкається межі акустично-оптичних секторів відтоді, як існують грози. Інженерний виклик — робити це навмисно.</w:t>
      </w:r>
    </w:p>
    <w:p>
      <w:pPr>
        <w:pStyle w:val="Heading1"/>
        <w:spacing w:before="300" w:after="15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90" w:line="260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[1] KSS (2005). [2] ADH (2015). [3] RT (2006). [4] Mi et al. (2021). [5] CDT (2005). [6] HNQTWY (2016). [7] Landauer (1961). [8] Bekenstein (1981). [9] Fowler (2012). [10] Wagner (2007). [11] Cahill (2014). [12] Zurek (1985). [13] Solà (2013). [14] Mühlbauer (2009).</w:t>
      </w:r>
    </w:p>
    <w:sectPr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2026-03-26T11:10:53.859Z</dcterms:created>
  <dcterms:modified xsi:type="dcterms:W3CDTF">2026-03-26T11:10:53.861Z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