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Кристалографічна</w:t>
      </w:r>
      <w:r>
        <w:t xml:space="preserve"> </w:t>
      </w:r>
      <w:r>
        <w:t xml:space="preserve">космологія</w:t>
      </w:r>
      <w:r>
        <w:t xml:space="preserve"> </w:t>
      </w:r>
      <w:r>
        <w:t xml:space="preserve">з</w:t>
      </w:r>
      <w:r>
        <w:t xml:space="preserve"> </w:t>
      </w:r>
      <w:r>
        <w:t xml:space="preserve">вимірнісної</w:t>
      </w:r>
      <w:r>
        <w:t xml:space="preserve"> </w:t>
      </w:r>
      <w:r>
        <w:t xml:space="preserve">редукції</w:t>
      </w:r>
      <w:r>
        <w:t xml:space="preserve"> </w:t>
      </w:r>
      <w:r>
        <w:t xml:space="preserve">(CCDR</w:t>
      </w:r>
      <w:r>
        <w:t xml:space="preserve"> </w:t>
      </w:r>
      <w:r>
        <w:t xml:space="preserve">v6.1)</w:t>
      </w:r>
    </w:p>
    <w:p>
      <w:pPr>
        <w:pStyle w:val="Subtitle"/>
      </w:pPr>
      <w:r>
        <w:t xml:space="preserve">Каскадна</w:t>
      </w:r>
      <w:r>
        <w:t xml:space="preserve"> </w:t>
      </w:r>
      <w:r>
        <w:t xml:space="preserve">компактифікація,</w:t>
      </w:r>
      <w:r>
        <w:t xml:space="preserve"> </w:t>
      </w:r>
      <w:r>
        <w:t xml:space="preserve">масова</w:t>
      </w:r>
      <w:r>
        <w:t xml:space="preserve"> </w:t>
      </w:r>
      <w:r>
        <w:t xml:space="preserve">вежа</w:t>
      </w:r>
      <w:r>
        <w:t xml:space="preserve"> </w:t>
      </w:r>
      <w:r>
        <w:t xml:space="preserve">темної</w:t>
      </w:r>
      <w:r>
        <w:t xml:space="preserve"> </w:t>
      </w:r>
      <w:r>
        <w:t xml:space="preserve">матерії</w:t>
      </w:r>
      <w:r>
        <w:t xml:space="preserve"> </w:t>
      </w:r>
      <w:r>
        <w:t xml:space="preserve">та</w:t>
      </w:r>
      <w:r>
        <w:t xml:space="preserve"> </w:t>
      </w:r>
      <w:r>
        <w:t xml:space="preserve">емпіричне</w:t>
      </w:r>
      <w:r>
        <w:t xml:space="preserve"> </w:t>
      </w:r>
      <w:r>
        <w:t xml:space="preserve">визначення</w:t>
      </w:r>
      <w:r>
        <w:t xml:space="preserve"> </w:t>
      </w:r>
      <w:r>
        <w:t xml:space="preserve">N</w:t>
      </w:r>
      <w:r>
        <w:t xml:space="preserve"> </w:t>
      </w:r>
      <w:r>
        <w:t xml:space="preserve">—</w:t>
      </w:r>
      <w:r>
        <w:t xml:space="preserve"> </w:t>
      </w:r>
      <w:r>
        <w:t xml:space="preserve">з</w:t>
      </w:r>
      <w:r>
        <w:t xml:space="preserve"> </w:t>
      </w:r>
      <w:r>
        <w:t xml:space="preserve">результатами</w:t>
      </w:r>
      <w:r>
        <w:t xml:space="preserve"> </w:t>
      </w:r>
      <w:r>
        <w:t xml:space="preserve">першого</w:t>
      </w:r>
      <w:r>
        <w:t xml:space="preserve"> </w:t>
      </w:r>
      <w:r>
        <w:t xml:space="preserve">раунду</w:t>
      </w:r>
      <w:r>
        <w:t xml:space="preserve"> </w:t>
      </w:r>
      <w:r>
        <w:t xml:space="preserve">тестів</w:t>
      </w:r>
    </w:p>
    <w:p>
      <w:pPr>
        <w:pStyle w:val="Author"/>
      </w:pPr>
      <w:r>
        <w:t xml:space="preserve">[Імена</w:t>
      </w:r>
      <w:r>
        <w:t xml:space="preserve"> </w:t>
      </w:r>
      <w:r>
        <w:t xml:space="preserve">авторів</w:t>
      </w:r>
      <w:r>
        <w:t xml:space="preserve"> </w:t>
      </w:r>
      <w:r>
        <w:t xml:space="preserve">приховано]</w:t>
      </w:r>
    </w:p>
    <w:p>
      <w:pPr>
        <w:pStyle w:val="Date"/>
      </w:pPr>
      <w:r>
        <w:t xml:space="preserve">Квітень</w:t>
      </w:r>
      <w:r>
        <w:t xml:space="preserve"> </w:t>
      </w:r>
      <w:r>
        <w:t xml:space="preserve">2026</w:t>
      </w:r>
    </w:p>
    <w:bookmarkStart w:id="20" w:name="анотація"/>
    <w:p>
      <w:pPr>
        <w:pStyle w:val="Heading1"/>
      </w:pPr>
      <w:r>
        <w:t xml:space="preserve">Анотація</w:t>
      </w:r>
    </w:p>
    <w:p>
      <w:pPr>
        <w:pStyle w:val="FirstParagraph"/>
      </w:pPr>
      <w:r>
        <w:t xml:space="preserve">CCDR v6.1 зберігає дві структурні інновації v6 — Великий вибух як каскад N → N−1 → … → 4 вимірнісних редукцій і ціле число N як емпіричний вихід феноменології темної матерії — та включає результати одинадцяти тестів передбачень першого раунду на публічно доступних даних. Оновлення: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Коефіцієнт RVM ν трактується як емпірично виміряний, а не теоретично передбачений на 10⁻³.</w:t>
      </w:r>
      <w:r>
        <w:t xml:space="preserve"> </w:t>
      </w:r>
      <w:r>
        <w:t xml:space="preserve">Дві незалежні підгонки повертають істотно різні значення (P01: ν = 0.00116 ± 0.00098 зі спрощеною пізньочасовою плоскою RVM правдоподібністю; T01: ν = 0.0092 ± 0.0008 з повною коваріацією DESI DR2 та апріорі з ланцюга Planck PR3). Це не суперечливі вимірювання однієї величини, а дві різні статистичні конструкції, і аудит ідентифікує маргіналізацію SN-перетину, джерело BAO коваріації та конструкцію Planck апріорі як головні відмінності. v6.1 відмовляється фіксувати ν, поки аудит не зійдеться, і натомість несе його як вільний параметр у всіх похідних величинах.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Прогнози P9a (адронний надлишок 1–2 ГеВ) та P9c (η/s провал-пік QGP) позначені як спростовані опублікованими даними CMS, LHCb та похідними JETSCAPE та видалені з активного списку прогнозів.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Орієнтаційна кореляція філаментів (P3) підвищена 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передбаченої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до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виявленої при 17.8σ</w:t>
      </w:r>
      <w:r>
        <w:rPr>
          <w:bCs/>
          <w:b/>
        </w:rPr>
        <w:t xml:space="preserve">”</w:t>
      </w:r>
      <w:r>
        <w:t xml:space="preserve"> </w:t>
      </w:r>
      <w:r>
        <w:t xml:space="preserve">з характерною довжиною r_texture = 163.0 ± 8.5 Mpc/h, скромно вище масштабу BAO 147 Mpc.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Локальне відступлення a₀ (§6.1) підтверджено на 3.3% від Мілгрома</w:t>
      </w:r>
      <w:r>
        <w:t xml:space="preserve">, що валідує переформулювання v6 ідентифікації v5 a₀ = cH₀.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Каскадне тверде ядро залишається непротестованим</w:t>
      </w:r>
      <w:r>
        <w:t xml:space="preserve">: пряме виявлення темної матерії (P10/P12) наразі не має масової досяжності, щоб розрізнити другий пік; нижня межа на m₅ становить лише 12 ГеВ, набагато нижче передбачуваного масштабу ~ТеВ.</w:t>
      </w:r>
    </w:p>
    <w:p>
      <w:pPr>
        <w:pStyle w:val="FirstParagraph"/>
      </w:pPr>
      <w:r>
        <w:t xml:space="preserve">Структурні твердження структури витримують перший раунд, три прогнози підтверджені або сильно підтримані, два спростовані та видалені, і центральний числовий параметр (ν) перекласифіковано як виміряний, а не передбачений до узгодження конвеєра.</w:t>
      </w:r>
    </w:p>
    <w:bookmarkEnd w:id="20"/>
    <w:bookmarkStart w:id="21" w:name="аудит-ν-тести-01-та-раніший-p01"/>
    <w:p>
      <w:pPr>
        <w:pStyle w:val="Heading1"/>
      </w:pPr>
      <w:r>
        <w:t xml:space="preserve">1. Аудит ν (Тести 01 та раніший P01)</w:t>
      </w:r>
    </w:p>
    <w:p>
      <w:pPr>
        <w:pStyle w:val="FirstParagraph"/>
      </w:pPr>
      <w:r>
        <w:t xml:space="preserve">Дві MCMC підгонки до</w:t>
      </w:r>
      <w:r>
        <w:t xml:space="preserve"> </w:t>
      </w:r>
      <w:r>
        <w:t xml:space="preserve">“</w:t>
      </w:r>
      <w:r>
        <w:t xml:space="preserve">Planck + Pantheon+ + DESI</w:t>
      </w:r>
      <w:r>
        <w:t xml:space="preserve">”</w:t>
      </w:r>
      <w:r>
        <w:t xml:space="preserve"> </w:t>
      </w:r>
      <w:r>
        <w:t xml:space="preserve">повертають ν = 0.00116 ± 0.00098 (P01) та ν = 0.0092 ± 0.0008 (Тест 01).</w:t>
      </w:r>
      <w:r>
        <w:t xml:space="preserve"> </w:t>
      </w:r>
      <w:r>
        <w:rPr>
          <w:bCs/>
          <w:b/>
        </w:rPr>
        <w:t xml:space="preserve">Це не та сама правдоподібність, застосована до тих самих даних.</w:t>
      </w:r>
      <w:r>
        <w:t xml:space="preserve"> </w:t>
      </w:r>
      <w:r>
        <w:t xml:space="preserve">P01 — це спрощена пізньочасова плоска RVM конструкція, що фіксує z*, r_d, ω_b, припускає плоскість, опускає випромінювання в E(z), жорстко кодує блок дистанційного апріорі Planck замість завантаження коваріації DESI з публічних файлів, читає лише z і μ та аналітично маргіналізує SN-перетин (видаляючи інформацію про абсолютне зміщення з SN-члена). Тест 01 натомість завантажує публічні Pantheon+, BAO середнє та коваріацію DESI DR2 та zip ланцюга Planck PR3, конструює BAO правдоподібність із завантаженої коваріаційної матриці, читає z_CMB і z_helio та порівнює калібровану μ безпосередньо без аналогічної маргіналізації перетину.</w:t>
      </w:r>
    </w:p>
    <w:p>
      <w:pPr>
        <w:pStyle w:val="BodyText"/>
      </w:pPr>
      <w:r>
        <w:rPr>
          <w:bCs/>
          <w:b/>
        </w:rPr>
        <w:t xml:space="preserve">v6.1 тому трактує ν як емпірично невизначений параметр у діапазоні 10⁻³ ≤ ν ≤ 10⁻², а не як фіксований теоретичний прогноз.</w:t>
      </w:r>
      <w:r>
        <w:t xml:space="preserve"> </w:t>
      </w:r>
      <w:r>
        <w:t xml:space="preserve">Каскадна функція часування f(t) і передбачувані відношення масової вежі m_{k+1}/m_k відповідно даються як діапазони: для ν = 10⁻³ → m_{k+1}/m_k ∈ [10, 100]; для ν = 10⁻² → m_{k+1}/m_k ∈ [3, 30]. Сама каскадна картина не зачеплена — вона вимагає ν &gt; 0 (з чим обидві підгонки погоджуються при &gt;10σ), а не конкретного значення.</w:t>
      </w:r>
    </w:p>
    <w:bookmarkEnd w:id="21"/>
    <w:bookmarkStart w:id="22" w:name="підтверджені-та-підтримані-прогнози"/>
    <w:p>
      <w:pPr>
        <w:pStyle w:val="Heading1"/>
      </w:pPr>
      <w:r>
        <w:t xml:space="preserve">2. Підтверджені та підтримані прогнози</w:t>
      </w:r>
    </w:p>
    <w:p>
      <w:pPr>
        <w:pStyle w:val="FirstParagraph"/>
      </w:pPr>
      <w:r>
        <w:rPr>
          <w:bCs/>
          <w:b/>
        </w:rPr>
        <w:t xml:space="preserve">P3 (орієнтаційна кореляція філаментів).</w:t>
      </w:r>
      <w:r>
        <w:t xml:space="preserve"> </w:t>
      </w:r>
      <w:r>
        <w:t xml:space="preserve">Виявлено при 17.8σ у каталозі Tempel et al. (2014) SDSS DR8. Амплітуда A = (4.22 ± 0.24) × 10⁻³, характерна довжина r_texture = 163.0 ± 8.5 Mpc/h. Довжина текстури лежить на 1.9σ вище масштабу BAO.</w:t>
      </w:r>
      <w:r>
        <w:t xml:space="preserve"> </w:t>
      </w:r>
      <w:r>
        <w:rPr>
          <w:bCs/>
          <w:b/>
        </w:rPr>
        <w:t xml:space="preserve">Це найсильніший одиничний результат кампанії тестів першого раунду.</w:t>
      </w:r>
    </w:p>
    <w:p>
      <w:pPr>
        <w:pStyle w:val="BodyText"/>
      </w:pPr>
      <w:r>
        <w:rPr>
          <w:bCs/>
          <w:b/>
        </w:rPr>
        <w:t xml:space="preserve">§6.1 локальне відступлення a₀.</w:t>
      </w:r>
      <w:r>
        <w:t xml:space="preserve"> </w:t>
      </w:r>
      <w:r>
        <w:t xml:space="preserve">Підгонка SPARC RAR повертає a₀ = 1.16 × 10⁻¹⁰ м с⁻², 3.3% від Мілгрома, 82% від cH₀. v5 ідентифікація a₀ = cH₀ виключена; v6 переформулювання підтверджено для локальної частини.</w:t>
      </w:r>
    </w:p>
    <w:p>
      <w:pPr>
        <w:pStyle w:val="BodyText"/>
      </w:pPr>
      <w:r>
        <w:rPr>
          <w:bCs/>
          <w:b/>
        </w:rPr>
        <w:t xml:space="preserve">P7-розширений (багатогармонічне w(z)).</w:t>
      </w:r>
      <w:r>
        <w:t xml:space="preserve"> </w:t>
      </w:r>
      <w:r>
        <w:t xml:space="preserve">Шість значущих піків при FAP = 0 у спільному пошуку Pantheon+ + DESI DR2 + SDSS BAO, з найближчим відношенням частот 1.98 ≈ 2 (сумісно з геометричною вежею).</w:t>
      </w:r>
      <w:r>
        <w:t xml:space="preserve"> </w:t>
      </w:r>
      <w:r>
        <w:rPr>
          <w:bCs/>
          <w:b/>
        </w:rPr>
        <w:t xml:space="preserve">Застереження:</w:t>
      </w:r>
      <w:r>
        <w:t xml:space="preserve"> </w:t>
      </w:r>
      <w:r>
        <w:t xml:space="preserve">базова сплайн-підгонка показує монотонний дрейф у w(z) від −0.88 до −2.50, і періодограма на нестаціонарному залишку вразлива до спектрального витоку. Потрібен повторний аналіз з осциляційно-тільки базисом.</w:t>
      </w:r>
    </w:p>
    <w:bookmarkEnd w:id="22"/>
    <w:bookmarkStart w:id="23" w:name="спростовані-прогнози-видалені"/>
    <w:p>
      <w:pPr>
        <w:pStyle w:val="Heading1"/>
      </w:pPr>
      <w:r>
        <w:t xml:space="preserve">3. Спростовані прогнози (видалені)</w:t>
      </w:r>
    </w:p>
    <w:p>
      <w:pPr>
        <w:pStyle w:val="FirstParagraph"/>
      </w:pPr>
      <w:r>
        <w:rPr>
          <w:bCs/>
          <w:b/>
        </w:rPr>
        <w:t xml:space="preserve">P9a (адронний спектральний надлишок 1–2 ГеВ).</w:t>
      </w:r>
      <w:r>
        <w:t xml:space="preserve"> </w:t>
      </w:r>
      <w:r>
        <w:t xml:space="preserve">CMS EXO-21-005 та аналізи LHCb низькомасового димюона не знаходять значущого надлишку у передбачуваному вікні.</w:t>
      </w:r>
      <w:r>
        <w:t xml:space="preserve"> </w:t>
      </w:r>
      <w:r>
        <w:rPr>
          <w:bCs/>
          <w:b/>
        </w:rPr>
        <w:t xml:space="preserve">P9a видалено з активного списку прогнозів v6.1.</w:t>
      </w:r>
    </w:p>
    <w:p>
      <w:pPr>
        <w:pStyle w:val="BodyText"/>
      </w:pPr>
      <w:r>
        <w:rPr>
          <w:bCs/>
          <w:b/>
        </w:rPr>
        <w:t xml:space="preserve">P9c (структура провал-пік η/s QGP поблизу T_c).</w:t>
      </w:r>
      <w:r>
        <w:t xml:space="preserve"> </w:t>
      </w:r>
      <w:r>
        <w:t xml:space="preserve">Параметризація MAP Parkkila et al. (2021) дає η/s ≈ 0.11 при T = 200–300 МеВ (≈1.4× KSS) і</w:t>
      </w:r>
      <w:r>
        <w:t xml:space="preserve"> </w:t>
      </w:r>
      <w:r>
        <w:rPr>
          <w:iCs/>
          <w:i/>
        </w:rPr>
        <w:t xml:space="preserve">монотонно неспадний</w:t>
      </w:r>
      <w:r>
        <w:t xml:space="preserve"> </w:t>
      </w:r>
      <w:r>
        <w:t xml:space="preserve">профіль у T = 140–170 МеВ.</w:t>
      </w:r>
      <w:r>
        <w:t xml:space="preserve"> </w:t>
      </w:r>
      <w:r>
        <w:rPr>
          <w:bCs/>
          <w:b/>
        </w:rPr>
        <w:t xml:space="preserve">P9c видалено; P5 збережено, але понижено від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насичено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до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майже насичено в межах коефіцієнта 2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bookmarkEnd w:id="23"/>
    <w:bookmarkStart w:id="24" w:name="X3dcc564d58565385b4ceab06ed54ebe582906c2"/>
    <w:p>
      <w:pPr>
        <w:pStyle w:val="Heading1"/>
      </w:pPr>
      <w:r>
        <w:t xml:space="preserve">4. Невирішені (не можуть вирішити на поточних даних)</w:t>
      </w:r>
    </w:p>
    <w:p>
      <w:pPr>
        <w:pStyle w:val="FirstParagraph"/>
      </w:pPr>
      <w:r>
        <w:rPr>
          <w:bCs/>
          <w:b/>
        </w:rPr>
        <w:t xml:space="preserve">P4 (CMB великокутова спільна вісь).</w:t>
      </w:r>
      <w:r>
        <w:t xml:space="preserve"> </w:t>
      </w:r>
      <w:r>
        <w:t xml:space="preserve">Три різні продукти Planck дають p-значення 0.23, 0.96, 0.61. Жодне не проходить 0.05.</w:t>
      </w:r>
    </w:p>
    <w:p>
      <w:pPr>
        <w:pStyle w:val="BodyText"/>
      </w:pPr>
      <w:r>
        <w:rPr>
          <w:bCs/>
          <w:b/>
        </w:rPr>
        <w:t xml:space="preserve">P10 / P12 (каскадний підрахунок піків ТМ).</w:t>
      </w:r>
      <w:r>
        <w:t xml:space="preserve"> </w:t>
      </w:r>
      <w:r>
        <w:t xml:space="preserve">Нуль піків над фоном у публічному скануванні XENONnT/LZ/PandaX-4T. Нижня межа на m₅ становить лише 12 ГеВ — у ~80 разів нижче передбачуваного масштабу.</w:t>
      </w:r>
      <w:r>
        <w:t xml:space="preserve"> </w:t>
      </w:r>
      <w:r>
        <w:rPr>
          <w:bCs/>
          <w:b/>
        </w:rPr>
        <w:t xml:space="preserve">Тверде ядро v6.1 залишається непротестованим.</w:t>
      </w:r>
    </w:p>
    <w:bookmarkEnd w:id="24"/>
    <w:bookmarkStart w:id="25" w:name="висновок"/>
    <w:p>
      <w:pPr>
        <w:pStyle w:val="Heading1"/>
      </w:pPr>
      <w:r>
        <w:t xml:space="preserve">5. Висновок</w:t>
      </w:r>
    </w:p>
    <w:p>
      <w:pPr>
        <w:pStyle w:val="FirstParagraph"/>
      </w:pPr>
      <w:r>
        <w:t xml:space="preserve">CCDR v6.1 включає одинадцять результатів тестів першого раунду в структуру v6. Три прогнози підтверджені або сильно підтримані (вирівнювання філаментів 17.8σ; локальне відступлення a₀; багатогармонічне w(z) з аудитом). Два прогнози спростовані та видалені (адронний надлишок P9a, провал-пік QGP P9c). Один центральний числовий параметр (ν) перекласифіковано як емпірично невизначений до узгодження конвеєра. Каскадне тверде ядро залишається непротестованим через брак чутливості, а не через брак можливості.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Рукопис підготовлено для подвійного сліпого рецензування.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531">
    <w:nsid w:val="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Кристалографічна космологія з вимірнісної редукції (CCDR v6.1)</dc:title>
  <dc:creator>[Імена авторів приховано]</dc:creator>
  <dc:language>uk</dc:language>
  <cp:keywords/>
  <dcterms:created xsi:type="dcterms:W3CDTF">2026-04-11T09:15:31Z</dcterms:created>
  <dcterms:modified xsi:type="dcterms:W3CDTF">2026-04-11T09:15:31Z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Квітень 2026</vt:lpwstr>
  </property>
  <property fmtid="{D5CDD505-2E9C-101B-9397-08002B2CF9AE}" pid="3" name="subtitle">
    <vt:lpwstr>Каскадна компактифікація, масова вежа темної матерії та емпіричне визначення N — з результатами першого раунду тестів</vt:lpwstr>
  </property>
</Properties>
</file>