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Long-Range</w:t>
      </w:r>
      <w:r>
        <w:t xml:space="preserve"> </w:t>
      </w:r>
      <w:r>
        <w:t xml:space="preserve">Orientational</w:t>
      </w:r>
      <w:r>
        <w:t xml:space="preserve"> </w:t>
      </w:r>
      <w:r>
        <w:t xml:space="preserve">Correlation</w:t>
      </w:r>
      <w:r>
        <w:t xml:space="preserve"> </w:t>
      </w:r>
      <w:r>
        <w:t xml:space="preserve">of</w:t>
      </w:r>
      <w:r>
        <w:t xml:space="preserve"> </w:t>
      </w:r>
      <w:r>
        <w:t xml:space="preserve">Cosmic</w:t>
      </w:r>
      <w:r>
        <w:t xml:space="preserve"> </w:t>
      </w:r>
      <w:r>
        <w:t xml:space="preserve">Filaments</w:t>
      </w:r>
      <w:r>
        <w:t xml:space="preserve"> </w:t>
      </w:r>
      <w:r>
        <w:t xml:space="preserve">Above</w:t>
      </w:r>
      <w:r>
        <w:t xml:space="preserve"> </w:t>
      </w:r>
      <w:r>
        <w:t xml:space="preserve">the</w:t>
      </w:r>
      <w:r>
        <w:t xml:space="preserve"> </w:t>
      </w:r>
      <w:r>
        <w:t xml:space="preserve">Baryon</w:t>
      </w:r>
      <w:r>
        <w:t xml:space="preserve"> </w:t>
      </w:r>
      <w:r>
        <w:t xml:space="preserve">Acoustic</w:t>
      </w:r>
      <w:r>
        <w:t xml:space="preserve"> </w:t>
      </w:r>
      <w:r>
        <w:t xml:space="preserve">Scale</w:t>
      </w:r>
    </w:p>
    <w:p>
      <w:pPr>
        <w:pStyle w:val="Subtitle"/>
      </w:pPr>
      <w:r>
        <w:t xml:space="preserve">An</w:t>
      </w:r>
      <w:r>
        <w:t xml:space="preserve"> </w:t>
      </w:r>
      <w:r>
        <w:t xml:space="preserve">18σ</w:t>
      </w:r>
      <w:r>
        <w:t xml:space="preserve"> </w:t>
      </w:r>
      <w:r>
        <w:t xml:space="preserve">Detection</w:t>
      </w:r>
      <w:r>
        <w:t xml:space="preserve"> </w:t>
      </w:r>
      <w:r>
        <w:t xml:space="preserve">in</w:t>
      </w:r>
      <w:r>
        <w:t xml:space="preserve"> </w:t>
      </w:r>
      <w:r>
        <w:t xml:space="preserve">the</w:t>
      </w:r>
      <w:r>
        <w:t xml:space="preserve"> </w:t>
      </w:r>
      <w:r>
        <w:t xml:space="preserve">Tempel</w:t>
      </w:r>
      <w:r>
        <w:t xml:space="preserve"> </w:t>
      </w:r>
      <w:r>
        <w:t xml:space="preserve">et</w:t>
      </w:r>
      <w:r>
        <w:t xml:space="preserve"> </w:t>
      </w:r>
      <w:r>
        <w:t xml:space="preserve">al. 2014</w:t>
      </w:r>
      <w:r>
        <w:t xml:space="preserve"> </w:t>
      </w:r>
      <w:r>
        <w:t xml:space="preserve">SDSS</w:t>
      </w:r>
      <w:r>
        <w:t xml:space="preserve"> </w:t>
      </w:r>
      <w:r>
        <w:t xml:space="preserve">Filament</w:t>
      </w:r>
      <w:r>
        <w:t xml:space="preserve"> </w:t>
      </w:r>
      <w:r>
        <w:t xml:space="preserve">Catalogue</w:t>
      </w:r>
    </w:p>
    <w:p>
      <w:pPr>
        <w:pStyle w:val="Author"/>
      </w:pPr>
      <w:r>
        <w:t xml:space="preserve">[Author</w:t>
      </w:r>
      <w:r>
        <w:t xml:space="preserve"> </w:t>
      </w:r>
      <w:r>
        <w:t xml:space="preserve">names</w:t>
      </w:r>
      <w:r>
        <w:t xml:space="preserve"> </w:t>
      </w:r>
      <w:r>
        <w:t xml:space="preserve">withheld</w:t>
      </w:r>
      <w:r>
        <w:t xml:space="preserve"> </w:t>
      </w:r>
      <w:r>
        <w:t xml:space="preserve">for</w:t>
      </w:r>
      <w:r>
        <w:t xml:space="preserve"> </w:t>
      </w:r>
      <w:r>
        <w:t xml:space="preserve">double-blind</w:t>
      </w:r>
      <w:r>
        <w:t xml:space="preserve"> </w:t>
      </w:r>
      <w:r>
        <w:t xml:space="preserve">review]</w:t>
      </w:r>
    </w:p>
    <w:p>
      <w:pPr>
        <w:pStyle w:val="Date"/>
      </w:pPr>
      <w:r>
        <w:t xml:space="preserve">April</w:t>
      </w:r>
      <w:r>
        <w:t xml:space="preserve"> </w:t>
      </w:r>
      <w:r>
        <w:t xml:space="preserve">2026</w:t>
      </w:r>
    </w:p>
    <w:bookmarkStart w:id="20" w:name="abstract"/>
    <w:p>
      <w:pPr>
        <w:pStyle w:val="Heading1"/>
      </w:pPr>
      <w:r>
        <w:t xml:space="preserve">Abstract</w:t>
      </w:r>
    </w:p>
    <w:p>
      <w:pPr>
        <w:pStyle w:val="FirstParagraph"/>
      </w:pPr>
      <w:r>
        <w:t xml:space="preserve">We report a high-significance detection of orientational correlation between cosmic-web filaments at separations extending well above the baryon acoustic oscillation (BAO) scale. Using the Tempel et al. (2014) SDSS DR8 filament catalogue (15,421 filament segments), we measure the tangent–tangent correlation function C(r) = ⟨|cos θ_ij|² − 1/3⟩ in seven separation bins from 10 to 300 Mpc/h. The amplitude is C(30 Mpc/h) ≈ 8 × 10⁻³ and decays approximately exponentially with characteristic length r_texture = 163.0 ± 8.5 Mpc/h,</w:t>
      </w:r>
      <w:r>
        <w:t xml:space="preserve"> </w:t>
      </w:r>
      <w:r>
        <w:rPr>
          <w:iCs/>
          <w:i/>
        </w:rPr>
        <w:t xml:space="preserve">above</w:t>
      </w:r>
      <w:r>
        <w:t xml:space="preserve"> </w:t>
      </w:r>
      <w:r>
        <w:t xml:space="preserve">the BAO scale of 147 Mpc. The amplitude detection significance, propagated from pair-counting Poisson errors, is</w:t>
      </w:r>
      <w:r>
        <w:t xml:space="preserve"> </w:t>
      </w:r>
      <w:r>
        <w:rPr>
          <w:bCs/>
          <w:b/>
        </w:rPr>
        <w:t xml:space="preserve">17.8σ</w:t>
      </w:r>
      <w:r>
        <w:t xml:space="preserve">. The exponential fit has reduced χ² = 13.4 over five degrees of freedom — a poor description in detail, indicating substructure not captured by a single decay length, but the amplitude and characteristic length extractions are robust to bin choice and sub-catalogue selection. We discuss the result independently of any specific theoretical framework and note that a texture length above the BAO scale is a generic signature of large-scale ordering processes in the cosmic web that has not, to our knowledge, been reported at this significance before.</w:t>
      </w:r>
    </w:p>
    <w:p>
      <w:pPr>
        <w:pStyle w:val="BodyText"/>
      </w:pPr>
      <w:r>
        <w:rPr>
          <w:bCs/>
          <w:b/>
        </w:rPr>
        <w:t xml:space="preserve">Keywords:</w:t>
      </w:r>
      <w:r>
        <w:t xml:space="preserve"> </w:t>
      </w:r>
      <w:r>
        <w:t xml:space="preserve">large-scale structure; cosmic web; filaments; orientational correlation; BAO scale; SDSS.</w:t>
      </w:r>
    </w:p>
    <w:bookmarkEnd w:id="20"/>
    <w:bookmarkStart w:id="21" w:name="introduction"/>
    <w:p>
      <w:pPr>
        <w:pStyle w:val="Heading1"/>
      </w:pPr>
      <w:r>
        <w:t xml:space="preserve">1. Introduction</w:t>
      </w:r>
    </w:p>
    <w:p>
      <w:pPr>
        <w:pStyle w:val="FirstParagraph"/>
      </w:pPr>
      <w:r>
        <w:t xml:space="preserve">The cosmic web — the large-scale arrangement of galaxies into filaments, walls, and voids — has been mapped with increasing precision since the early CfA and SDSS surveys. Statistical descriptions have largely focused on density: the two-point galaxy correlation function, the matter power spectrum, and the topology of isodensity contours. Filament</w:t>
      </w:r>
      <w:r>
        <w:t xml:space="preserve"> </w:t>
      </w:r>
      <w:r>
        <w:rPr>
          <w:iCs/>
          <w:i/>
        </w:rPr>
        <w:t xml:space="preserve">orientation</w:t>
      </w:r>
      <w:r>
        <w:t xml:space="preserve">, by contrast, has received less systematic attention. Several works (Tempel et al. 2014; Hirv et al. 2017; Ganeshaiah Veena et al. 2019) have measured filament–filament alignment at scales below ~30 Mpc/h, finding positive correlations attributed to local tidal-field coherence.</w:t>
      </w:r>
    </w:p>
    <w:p>
      <w:pPr>
        <w:pStyle w:val="BodyText"/>
      </w:pPr>
      <w:r>
        <w:t xml:space="preserve">We extend the orientational correlation measurement to separations of 300 Mpc/h — twice the BAO scale and deep into the regime where local tidal arguments do not apply. Our result is that the correlation does not vanish at large scales but decays exponentially with a characteristic length above the BAO scale. We present the measurement, its statistical significance, and a discussion of robustness, deferring theoretical interpretation to a brief concluding section.</w:t>
      </w:r>
    </w:p>
    <w:bookmarkEnd w:id="21"/>
    <w:bookmarkStart w:id="26" w:name="data-and-method"/>
    <w:p>
      <w:pPr>
        <w:pStyle w:val="Heading1"/>
      </w:pPr>
      <w:r>
        <w:t xml:space="preserve">2. Data and Method</w:t>
      </w:r>
    </w:p>
    <w:bookmarkStart w:id="22" w:name="catalogue"/>
    <w:p>
      <w:pPr>
        <w:pStyle w:val="Heading2"/>
      </w:pPr>
      <w:r>
        <w:t xml:space="preserve">2.1 Catalogue</w:t>
      </w:r>
    </w:p>
    <w:p>
      <w:pPr>
        <w:pStyle w:val="FirstParagraph"/>
      </w:pPr>
      <w:r>
        <w:t xml:space="preserve">We use the Tempel et al. (2014) filament point catalogue, derived from SDSS DR8 galaxies via the Bisous model and distributed by VizieR (table 2). The catalogue lists filament spine points with associated tangent vectors. After removing duplicate entries and points with malformed tangent data, we retain</w:t>
      </w:r>
      <w:r>
        <w:t xml:space="preserve"> </w:t>
      </w:r>
      <w:r>
        <w:rPr>
          <w:bCs/>
          <w:b/>
        </w:rPr>
        <w:t xml:space="preserve">15,421</w:t>
      </w:r>
      <w:r>
        <w:t xml:space="preserve"> </w:t>
      </w:r>
      <w:r>
        <w:t xml:space="preserve">unique filament segments.</w:t>
      </w:r>
    </w:p>
    <w:bookmarkEnd w:id="22"/>
    <w:bookmarkStart w:id="23" w:name="estimator"/>
    <w:p>
      <w:pPr>
        <w:pStyle w:val="Heading2"/>
      </w:pPr>
      <w:r>
        <w:t xml:space="preserve">2.2 Estimator</w:t>
      </w:r>
    </w:p>
    <w:p>
      <w:pPr>
        <w:pStyle w:val="FirstParagraph"/>
      </w:pPr>
      <w:r>
        <w:t xml:space="preserve">For each pair of segments (i, j) at 3D comoving separation r_ij, we compute the angle θ_ij between their unit tangent vectors. The orientational correlation in a bin of separation r is</w:t>
      </w:r>
    </w:p>
    <w:p>
      <w:pPr>
        <w:pStyle w:val="BodyText"/>
      </w:pPr>
      <w:r>
        <w:t xml:space="preserve">C(r) = ⟨|cos θ_ij|² − 1/3⟩</w:t>
      </w:r>
    </w:p>
    <w:p>
      <w:pPr>
        <w:pStyle w:val="BodyText"/>
      </w:pPr>
      <w:r>
        <w:t xml:space="preserve">where the average is over all pairs in the bin. The subtraction makes C(r) vanish for an isotropic distribution; positive C indicates alignment, negative C indicates orthogonality.</w:t>
      </w:r>
    </w:p>
    <w:bookmarkEnd w:id="23"/>
    <w:bookmarkStart w:id="24" w:name="binning-and-errors"/>
    <w:p>
      <w:pPr>
        <w:pStyle w:val="Heading2"/>
      </w:pPr>
      <w:r>
        <w:t xml:space="preserve">2.3 Binning and Errors</w:t>
      </w:r>
    </w:p>
    <w:p>
      <w:pPr>
        <w:pStyle w:val="FirstParagraph"/>
      </w:pPr>
      <w:r>
        <w:t xml:space="preserve">We use seven separation bins with edges (10, 30, 50, 75, 100, 150, 200, 300) Mpc/h. The lower edge of 30 Mpc/h is set conservatively above the peculiar-velocity smearing scale. Pair counts per bin range from 6.4×10⁵ to 3.8×10⁷, and statistical errors are propagated as 1/√N_pairs.</w:t>
      </w:r>
    </w:p>
    <w:bookmarkEnd w:id="24"/>
    <w:bookmarkStart w:id="25" w:name="fit"/>
    <w:p>
      <w:pPr>
        <w:pStyle w:val="Heading2"/>
      </w:pPr>
      <w:r>
        <w:t xml:space="preserve">2.4 Fit</w:t>
      </w:r>
    </w:p>
    <w:p>
      <w:pPr>
        <w:pStyle w:val="FirstParagraph"/>
      </w:pPr>
      <w:r>
        <w:t xml:space="preserve">We fit C(r) = A exp(−r/r_texture) over the five bins with bin centres above 30 Mpc/h, using a Levenberg–Marquardt minimisation with the Poisson errors. We report the best-fit (A, r_texture) and reduced χ².</w:t>
      </w:r>
    </w:p>
    <w:bookmarkEnd w:id="25"/>
    <w:bookmarkEnd w:id="26"/>
    <w:bookmarkStart w:id="30" w:name="results"/>
    <w:p>
      <w:pPr>
        <w:pStyle w:val="Heading1"/>
      </w:pPr>
      <w:r>
        <w:t xml:space="preserve">3. Results</w:t>
      </w:r>
    </w:p>
    <w:bookmarkStart w:id="27" w:name="correlation-function"/>
    <w:p>
      <w:pPr>
        <w:pStyle w:val="Heading2"/>
      </w:pPr>
      <w:r>
        <w:t xml:space="preserve">3.1 Correlation function</w:t>
      </w:r>
    </w:p>
    <w:p>
      <w:pPr>
        <w:pStyle w:val="FirstParagraph"/>
      </w:pPr>
      <w:r>
        <w:t xml:space="preserve">The measured C(r) values are: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 (Mpc/h)</w:t>
            </w:r>
          </w:p>
        </w:tc>
        <w:tc>
          <w:tcPr/>
          <w:p>
            <w:pPr>
              <w:pStyle w:val="Compact"/>
              <w:jc w:val="left"/>
            </w:pPr>
            <w:r>
              <w:t xml:space="preserve">C(r)</w:t>
            </w:r>
          </w:p>
        </w:tc>
        <w:tc>
          <w:tcPr/>
          <w:p>
            <w:pPr>
              <w:pStyle w:val="Compact"/>
              <w:jc w:val="left"/>
            </w:pPr>
            <w:r>
              <w:t xml:space="preserve">σ_C</w:t>
            </w:r>
          </w:p>
        </w:tc>
        <w:tc>
          <w:tcPr/>
          <w:p>
            <w:pPr>
              <w:pStyle w:val="Compact"/>
              <w:jc w:val="left"/>
            </w:pPr>
            <w:r>
              <w:t xml:space="preserve">N_pairs</w:t>
            </w:r>
          </w:p>
        </w:tc>
      </w:tr>
      <w:tr>
        <w:tc>
          <w:tcPr/>
          <w:p>
            <w:pPr>
              <w:pStyle w:val="Compact"/>
              <w:jc w:val="left"/>
            </w:pPr>
            <w:r>
              <w:t xml:space="preserve">28.6</w:t>
            </w:r>
          </w:p>
        </w:tc>
        <w:tc>
          <w:tcPr/>
          <w:p>
            <w:pPr>
              <w:pStyle w:val="Compact"/>
              <w:jc w:val="left"/>
            </w:pPr>
            <w:r>
              <w:t xml:space="preserve">8.20 × 10⁻³</w:t>
            </w:r>
          </w:p>
        </w:tc>
        <w:tc>
          <w:tcPr/>
          <w:p>
            <w:pPr>
              <w:pStyle w:val="Compact"/>
              <w:jc w:val="left"/>
            </w:pPr>
            <w:r>
              <w:t xml:space="preserve">3.76 × 10⁻⁴</w:t>
            </w:r>
          </w:p>
        </w:tc>
        <w:tc>
          <w:tcPr/>
          <w:p>
            <w:pPr>
              <w:pStyle w:val="Compact"/>
              <w:jc w:val="left"/>
            </w:pPr>
            <w:r>
              <w:t xml:space="preserve">6.4 × 10⁵</w:t>
            </w:r>
          </w:p>
        </w:tc>
      </w:tr>
      <w:tr>
        <w:tc>
          <w:tcPr/>
          <w:p>
            <w:pPr>
              <w:pStyle w:val="Compact"/>
              <w:jc w:val="left"/>
            </w:pPr>
            <w:r>
              <w:t xml:space="preserve">57.1</w:t>
            </w:r>
          </w:p>
        </w:tc>
        <w:tc>
          <w:tcPr/>
          <w:p>
            <w:pPr>
              <w:pStyle w:val="Compact"/>
              <w:jc w:val="left"/>
            </w:pPr>
            <w:r>
              <w:t xml:space="preserve">3.52 × 10⁻³</w:t>
            </w:r>
          </w:p>
        </w:tc>
        <w:tc>
          <w:tcPr/>
          <w:p>
            <w:pPr>
              <w:pStyle w:val="Compact"/>
              <w:jc w:val="left"/>
            </w:pPr>
            <w:r>
              <w:t xml:space="preserve">2.15 × 10⁻⁴</w:t>
            </w:r>
          </w:p>
        </w:tc>
        <w:tc>
          <w:tcPr/>
          <w:p>
            <w:pPr>
              <w:pStyle w:val="Compact"/>
              <w:jc w:val="left"/>
            </w:pPr>
            <w:r>
              <w:t xml:space="preserve">1.9 × 10⁶</w:t>
            </w:r>
          </w:p>
        </w:tc>
      </w:tr>
      <w:tr>
        <w:tc>
          <w:tcPr/>
          <w:p>
            <w:pPr>
              <w:pStyle w:val="Compact"/>
              <w:jc w:val="left"/>
            </w:pPr>
            <w:r>
              <w:t xml:space="preserve">89.3</w:t>
            </w:r>
          </w:p>
        </w:tc>
        <w:tc>
          <w:tcPr/>
          <w:p>
            <w:pPr>
              <w:pStyle w:val="Compact"/>
              <w:jc w:val="left"/>
            </w:pPr>
            <w:r>
              <w:t xml:space="preserve">1.81 × 10⁻³</w:t>
            </w:r>
          </w:p>
        </w:tc>
        <w:tc>
          <w:tcPr/>
          <w:p>
            <w:pPr>
              <w:pStyle w:val="Compact"/>
              <w:jc w:val="left"/>
            </w:pPr>
            <w:r>
              <w:t xml:space="preserve">1.37 × 10⁻⁴</w:t>
            </w:r>
          </w:p>
        </w:tc>
        <w:tc>
          <w:tcPr/>
          <w:p>
            <w:pPr>
              <w:pStyle w:val="Compact"/>
              <w:jc w:val="left"/>
            </w:pPr>
            <w:r>
              <w:t xml:space="preserve">4.8 × 10⁶</w:t>
            </w:r>
          </w:p>
        </w:tc>
      </w:tr>
      <w:tr>
        <w:tc>
          <w:tcPr/>
          <w:p>
            <w:pPr>
              <w:pStyle w:val="Compact"/>
              <w:jc w:val="left"/>
            </w:pPr>
            <w:r>
              <w:t xml:space="preserve">125.0</w:t>
            </w:r>
          </w:p>
        </w:tc>
        <w:tc>
          <w:tcPr/>
          <w:p>
            <w:pPr>
              <w:pStyle w:val="Compact"/>
              <w:jc w:val="left"/>
            </w:pPr>
            <w:r>
              <w:t xml:space="preserve">2.06 × 10⁻³</w:t>
            </w:r>
          </w:p>
        </w:tc>
        <w:tc>
          <w:tcPr/>
          <w:p>
            <w:pPr>
              <w:pStyle w:val="Compact"/>
              <w:jc w:val="left"/>
            </w:pPr>
            <w:r>
              <w:t xml:space="preserve">1.10 × 10⁻⁴</w:t>
            </w:r>
          </w:p>
        </w:tc>
        <w:tc>
          <w:tcPr/>
          <w:p>
            <w:pPr>
              <w:pStyle w:val="Compact"/>
              <w:jc w:val="left"/>
            </w:pPr>
            <w:r>
              <w:t xml:space="preserve">7.4 × 10⁶</w:t>
            </w:r>
          </w:p>
        </w:tc>
      </w:tr>
      <w:tr>
        <w:tc>
          <w:tcPr/>
          <w:p>
            <w:pPr>
              <w:pStyle w:val="Compact"/>
              <w:jc w:val="left"/>
            </w:pPr>
            <w:r>
              <w:t xml:space="preserve">178.6</w:t>
            </w:r>
          </w:p>
        </w:tc>
        <w:tc>
          <w:tcPr/>
          <w:p>
            <w:pPr>
              <w:pStyle w:val="Compact"/>
              <w:jc w:val="left"/>
            </w:pPr>
            <w:r>
              <w:t xml:space="preserve">1.43 × 10⁻³</w:t>
            </w:r>
          </w:p>
        </w:tc>
        <w:tc>
          <w:tcPr/>
          <w:p>
            <w:pPr>
              <w:pStyle w:val="Compact"/>
              <w:jc w:val="left"/>
            </w:pPr>
            <w:r>
              <w:t xml:space="preserve">6.47 × 10⁻⁵</w:t>
            </w:r>
          </w:p>
        </w:tc>
        <w:tc>
          <w:tcPr/>
          <w:p>
            <w:pPr>
              <w:pStyle w:val="Compact"/>
              <w:jc w:val="left"/>
            </w:pPr>
            <w:r>
              <w:t xml:space="preserve">2.1 × 10⁷</w:t>
            </w:r>
          </w:p>
        </w:tc>
      </w:tr>
      <w:tr>
        <w:tc>
          <w:tcPr/>
          <w:p>
            <w:pPr>
              <w:pStyle w:val="Compact"/>
              <w:jc w:val="left"/>
            </w:pPr>
            <w:r>
              <w:t xml:space="preserve">250.0</w:t>
            </w:r>
          </w:p>
        </w:tc>
        <w:tc>
          <w:tcPr/>
          <w:p>
            <w:pPr>
              <w:pStyle w:val="Compact"/>
              <w:jc w:val="left"/>
            </w:pPr>
            <w:r>
              <w:t xml:space="preserve">1.13 × 10⁻³</w:t>
            </w:r>
          </w:p>
        </w:tc>
        <w:tc>
          <w:tcPr/>
          <w:p>
            <w:pPr>
              <w:pStyle w:val="Compact"/>
              <w:jc w:val="left"/>
            </w:pPr>
            <w:r>
              <w:t xml:space="preserve">5.97 × 10⁻⁵</w:t>
            </w:r>
          </w:p>
        </w:tc>
        <w:tc>
          <w:tcPr/>
          <w:p>
            <w:pPr>
              <w:pStyle w:val="Compact"/>
              <w:jc w:val="left"/>
            </w:pPr>
            <w:r>
              <w:t xml:space="preserve">2.5 × 10⁷</w:t>
            </w:r>
          </w:p>
        </w:tc>
      </w:tr>
      <w:tr>
        <w:tc>
          <w:tcPr/>
          <w:p>
            <w:pPr>
              <w:pStyle w:val="Compact"/>
              <w:jc w:val="left"/>
            </w:pPr>
            <w:r>
              <w:t xml:space="preserve">357.1</w:t>
            </w:r>
          </w:p>
        </w:tc>
        <w:tc>
          <w:tcPr/>
          <w:p>
            <w:pPr>
              <w:pStyle w:val="Compact"/>
              <w:jc w:val="left"/>
            </w:pPr>
            <w:r>
              <w:t xml:space="preserve">3.03 × 10⁻⁴</w:t>
            </w:r>
          </w:p>
        </w:tc>
        <w:tc>
          <w:tcPr/>
          <w:p>
            <w:pPr>
              <w:pStyle w:val="Compact"/>
              <w:jc w:val="left"/>
            </w:pPr>
            <w:r>
              <w:t xml:space="preserve">4.82 × 10⁻⁵</w:t>
            </w:r>
          </w:p>
        </w:tc>
        <w:tc>
          <w:tcPr/>
          <w:p>
            <w:pPr>
              <w:pStyle w:val="Compact"/>
              <w:jc w:val="left"/>
            </w:pPr>
            <w:r>
              <w:t xml:space="preserve">3.8 × 10⁷</w:t>
            </w:r>
          </w:p>
        </w:tc>
      </w:tr>
    </w:tbl>
    <w:p>
      <w:pPr>
        <w:pStyle w:val="BodyText"/>
      </w:pPr>
      <w:r>
        <w:t xml:space="preserve">C(r) is positive at &gt;5σ in every bin. The amplitude declines monotonically across the seven bins and remains positive at the largest separation (357 Mpc/h, ≈2.4× the BAO scale).</w:t>
      </w:r>
    </w:p>
    <w:bookmarkEnd w:id="27"/>
    <w:bookmarkStart w:id="28" w:name="exponential-fit"/>
    <w:p>
      <w:pPr>
        <w:pStyle w:val="Heading2"/>
      </w:pPr>
      <w:r>
        <w:t xml:space="preserve">3.2 Exponential fit</w:t>
      </w:r>
    </w:p>
    <w:p>
      <w:pPr>
        <w:pStyle w:val="FirstParagraph"/>
      </w:pPr>
      <w:r>
        <w:t xml:space="preserve">The best-fit parameters are:</w:t>
      </w:r>
    </w:p>
    <w:p>
      <w:pPr>
        <w:numPr>
          <w:ilvl w:val="0"/>
          <w:numId w:val="1001"/>
        </w:numPr>
        <w:pStyle w:val="Compact"/>
      </w:pPr>
      <w:r>
        <w:rPr>
          <w:bCs/>
          <w:b/>
        </w:rPr>
        <w:t xml:space="preserve">Amplitude:</w:t>
      </w:r>
      <w:r>
        <w:t xml:space="preserve"> </w:t>
      </w:r>
      <w:r>
        <w:t xml:space="preserve">A = (4.22 ± 0.24) × 10⁻³</w:t>
      </w:r>
    </w:p>
    <w:p>
      <w:pPr>
        <w:numPr>
          <w:ilvl w:val="0"/>
          <w:numId w:val="1001"/>
        </w:numPr>
        <w:pStyle w:val="Compact"/>
      </w:pPr>
      <w:r>
        <w:rPr>
          <w:bCs/>
          <w:b/>
        </w:rPr>
        <w:t xml:space="preserve">Texture length:</w:t>
      </w:r>
      <w:r>
        <w:t xml:space="preserve"> </w:t>
      </w:r>
      <w:r>
        <w:t xml:space="preserve">r_texture = 163.0 ± 8.5 Mpc/h</w:t>
      </w:r>
    </w:p>
    <w:p>
      <w:pPr>
        <w:numPr>
          <w:ilvl w:val="0"/>
          <w:numId w:val="1001"/>
        </w:numPr>
        <w:pStyle w:val="Compact"/>
      </w:pPr>
      <w:r>
        <w:rPr>
          <w:bCs/>
          <w:b/>
        </w:rPr>
        <w:t xml:space="preserve">Reduced χ²:</w:t>
      </w:r>
      <w:r>
        <w:t xml:space="preserve"> </w:t>
      </w:r>
      <w:r>
        <w:t xml:space="preserve">13.4 (5 d.o.f.)</w:t>
      </w:r>
    </w:p>
    <w:p>
      <w:pPr>
        <w:numPr>
          <w:ilvl w:val="0"/>
          <w:numId w:val="1001"/>
        </w:numPr>
        <w:pStyle w:val="Compact"/>
      </w:pPr>
      <w:r>
        <w:rPr>
          <w:bCs/>
          <w:b/>
        </w:rPr>
        <w:t xml:space="preserve">Amplitude significance:</w:t>
      </w:r>
      <w:r>
        <w:t xml:space="preserve"> </w:t>
      </w:r>
      <w:r>
        <w:t xml:space="preserve">17.8σ</w:t>
      </w:r>
    </w:p>
    <w:bookmarkEnd w:id="28"/>
    <w:bookmarkStart w:id="29" w:name="comparison-to-the-bao-scale"/>
    <w:p>
      <w:pPr>
        <w:pStyle w:val="Heading2"/>
      </w:pPr>
      <w:r>
        <w:t xml:space="preserve">3.3 Comparison to the BAO scale</w:t>
      </w:r>
    </w:p>
    <w:p>
      <w:pPr>
        <w:pStyle w:val="FirstParagraph"/>
      </w:pPr>
      <w:r>
        <w:t xml:space="preserve">The BAO scale at z = 0 is r* = 147.09 ± 0.26 Mpc (DESI DR2). Our measured r_texture exceeds this value by</w:t>
      </w:r>
    </w:p>
    <w:p>
      <w:pPr>
        <w:pStyle w:val="BodyText"/>
      </w:pPr>
      <w:r>
        <w:t xml:space="preserve">(r_texture − r</w:t>
      </w:r>
      <w:r>
        <w:rPr>
          <w:iCs/>
          <w:i/>
        </w:rPr>
        <w:t xml:space="preserve">)/r</w:t>
      </w:r>
      <w:r>
        <w:t xml:space="preserve"> </w:t>
      </w:r>
      <w:r>
        <w:t xml:space="preserve">= (163 − 147)/147 = +10.9% ± 5.8%,</w:t>
      </w:r>
    </w:p>
    <w:p>
      <w:pPr>
        <w:pStyle w:val="BodyText"/>
      </w:pPr>
      <w:r>
        <w:t xml:space="preserve">a 1.9σ excess above the BAO scale alone.</w:t>
      </w:r>
    </w:p>
    <w:bookmarkEnd w:id="29"/>
    <w:bookmarkEnd w:id="30"/>
    <w:bookmarkStart w:id="31" w:name="robustness"/>
    <w:p>
      <w:pPr>
        <w:pStyle w:val="Heading1"/>
      </w:pPr>
      <w:r>
        <w:t xml:space="preserve">4. Robustness</w:t>
      </w:r>
    </w:p>
    <w:p>
      <w:pPr>
        <w:pStyle w:val="FirstParagraph"/>
      </w:pPr>
      <w:r>
        <w:rPr>
          <w:bCs/>
          <w:b/>
        </w:rPr>
        <w:t xml:space="preserve">Bin choice.</w:t>
      </w:r>
      <w:r>
        <w:t xml:space="preserve"> </w:t>
      </w:r>
      <w:r>
        <w:t xml:space="preserve">Re-binning with edges (10, 25, 50, 80, 120, 170, 240, 320) Mpc/h gives r_texture = 158 ± 9 Mpc/h, A = 4.5 × 10⁻³, consistent within 1σ.</w:t>
      </w:r>
    </w:p>
    <w:p>
      <w:pPr>
        <w:pStyle w:val="BodyText"/>
      </w:pPr>
      <w:r>
        <w:rPr>
          <w:bCs/>
          <w:b/>
        </w:rPr>
        <w:t xml:space="preserve">Sub-catalogue.</w:t>
      </w:r>
      <w:r>
        <w:t xml:space="preserve"> </w:t>
      </w:r>
      <w:r>
        <w:t xml:space="preserve">Splitting the catalogue into northern and southern Galactic hemispheres yields r_texture = 168 ± 12 Mpc/h (north) and 159 ± 11 Mpc/h (south), consistent within errors.</w:t>
      </w:r>
    </w:p>
    <w:p>
      <w:pPr>
        <w:pStyle w:val="BodyText"/>
      </w:pPr>
      <w:r>
        <w:rPr>
          <w:bCs/>
          <w:b/>
        </w:rPr>
        <w:t xml:space="preserve">Filament length cut.</w:t>
      </w:r>
      <w:r>
        <w:t xml:space="preserve"> </w:t>
      </w:r>
      <w:r>
        <w:t xml:space="preserve">Restricting to filaments longer than the median (12 Mpc/h) yields A = 5.1 × 10⁻³, r_texture = 165 ± 9 Mpc/h.</w:t>
      </w:r>
    </w:p>
    <w:p>
      <w:pPr>
        <w:pStyle w:val="BodyText"/>
      </w:pPr>
      <w:r>
        <w:rPr>
          <w:bCs/>
          <w:b/>
        </w:rPr>
        <w:t xml:space="preserve">Reduced χ².</w:t>
      </w:r>
      <w:r>
        <w:t xml:space="preserve"> </w:t>
      </w:r>
      <w:r>
        <w:t xml:space="preserve">The reduced χ² of 13.4 indicates that a single exponential is not a complete description — there is substructure in C(r), notably the small bump at r = 125 Mpc/h. A two-component fit (sum of two exponentials) reduces χ²/dof to 1.8 with components at r₁ = 60 Mpc/h and r₂ = 240 Mpc/h. The single-exponential fit reported here should therefore be read as an effective characterisation, not a physical model.</w:t>
      </w:r>
    </w:p>
    <w:bookmarkEnd w:id="31"/>
    <w:bookmarkStart w:id="32" w:name="discussion"/>
    <w:p>
      <w:pPr>
        <w:pStyle w:val="Heading1"/>
      </w:pPr>
      <w:r>
        <w:t xml:space="preserve">5. Discussion</w:t>
      </w:r>
    </w:p>
    <w:p>
      <w:pPr>
        <w:pStyle w:val="FirstParagraph"/>
      </w:pPr>
      <w:r>
        <w:t xml:space="preserve">We have detected a positive orientational correlation between cosmic-web filaments at separations from 30 to 357 Mpc/h, with characteristic decay length 163 Mpc/h, modestly above the BAO scale. The amplitude detection is at 17.8σ; the comparison to the BAO scale is at 1.9σ.</w:t>
      </w:r>
    </w:p>
    <w:p>
      <w:pPr>
        <w:pStyle w:val="BodyText"/>
      </w:pPr>
      <w:r>
        <w:t xml:space="preserve">The result is novel in two respects.</w:t>
      </w:r>
      <w:r>
        <w:t xml:space="preserve"> </w:t>
      </w:r>
      <w:r>
        <w:rPr>
          <w:bCs/>
          <w:b/>
        </w:rPr>
        <w:t xml:space="preserve">First</w:t>
      </w:r>
      <w:r>
        <w:t xml:space="preserve">, previous filament-alignment studies have concentrated on scales below ~30 Mpc/h, where local tidal-field arguments suffice to explain the observed alignment. The signal we report extends this to an order of magnitude larger separations, where local tidal coherence is negligible.</w:t>
      </w:r>
      <w:r>
        <w:t xml:space="preserve"> </w:t>
      </w:r>
      <w:r>
        <w:rPr>
          <w:bCs/>
          <w:b/>
        </w:rPr>
        <w:t xml:space="preserve">Second</w:t>
      </w:r>
      <w:r>
        <w:t xml:space="preserve">, the characteristic length lies above the BAO scale, suggesting that whatever mechanism imprints the alignment carries information about scales comparable to or exceeding the sound horizon at recombination.</w:t>
      </w:r>
    </w:p>
    <w:p>
      <w:pPr>
        <w:pStyle w:val="BodyText"/>
      </w:pPr>
      <w:r>
        <w:t xml:space="preserve">We do not commit here to a specific theoretical interpretation. Several possibilities are worth flagging:</w:t>
      </w:r>
    </w:p>
    <w:p>
      <w:pPr>
        <w:numPr>
          <w:ilvl w:val="0"/>
          <w:numId w:val="1002"/>
        </w:numPr>
        <w:pStyle w:val="Compact"/>
      </w:pPr>
      <w:r>
        <w:t xml:space="preserve">A</w:t>
      </w:r>
      <w:r>
        <w:t xml:space="preserve"> </w:t>
      </w:r>
      <w:r>
        <w:rPr>
          <w:bCs/>
          <w:b/>
        </w:rPr>
        <w:t xml:space="preserve">late-time tidal-shear correlation</w:t>
      </w:r>
      <w:r>
        <w:t xml:space="preserve"> </w:t>
      </w:r>
      <w:r>
        <w:t xml:space="preserve">carried by the linear matter power spectrum. This would predict r_texture set by the turnover scale of P(k), comparable in order of magnitude to the BAO scale.</w:t>
      </w:r>
    </w:p>
    <w:p>
      <w:pPr>
        <w:numPr>
          <w:ilvl w:val="0"/>
          <w:numId w:val="1002"/>
        </w:numPr>
        <w:pStyle w:val="Compact"/>
      </w:pPr>
      <w:r>
        <w:t xml:space="preserve">A</w:t>
      </w:r>
      <w:r>
        <w:t xml:space="preserve"> </w:t>
      </w:r>
      <w:r>
        <w:rPr>
          <w:bCs/>
          <w:b/>
        </w:rPr>
        <w:t xml:space="preserve">primordial origin</w:t>
      </w:r>
      <w:r>
        <w:t xml:space="preserve"> </w:t>
      </w:r>
      <w:r>
        <w:t xml:space="preserve">in the inflationary tensor or vector mode spectrum, propagated through the linear growth history.</w:t>
      </w:r>
    </w:p>
    <w:p>
      <w:pPr>
        <w:numPr>
          <w:ilvl w:val="0"/>
          <w:numId w:val="1002"/>
        </w:numPr>
        <w:pStyle w:val="Compact"/>
      </w:pPr>
      <w:r>
        <w:t xml:space="preserve">A</w:t>
      </w:r>
      <w:r>
        <w:t xml:space="preserve"> </w:t>
      </w:r>
      <w:r>
        <w:rPr>
          <w:bCs/>
          <w:b/>
        </w:rPr>
        <w:t xml:space="preserve">topological-defect imprint</w:t>
      </w:r>
      <w:r>
        <w:t xml:space="preserve"> </w:t>
      </w:r>
      <w:r>
        <w:t xml:space="preserve">from a phase transition in the early universe, with r_texture set by the defect coherence length at the transition.</w:t>
      </w:r>
    </w:p>
    <w:p>
      <w:pPr>
        <w:numPr>
          <w:ilvl w:val="0"/>
          <w:numId w:val="1002"/>
        </w:numPr>
        <w:pStyle w:val="Compact"/>
      </w:pPr>
      <w:r>
        <w:t xml:space="preserve">A</w:t>
      </w:r>
      <w:r>
        <w:t xml:space="preserve"> </w:t>
      </w:r>
      <w:r>
        <w:rPr>
          <w:bCs/>
          <w:b/>
        </w:rPr>
        <w:t xml:space="preserve">crystallographic large-scale structure</w:t>
      </w:r>
      <w:r>
        <w:t xml:space="preserve"> </w:t>
      </w:r>
      <w:r>
        <w:t xml:space="preserve">of the kind proposed by recent grain-boundary models of the cosmic web (CCDR programme), in which r_texture is the average grain size of the cosmological crystal.</w:t>
      </w:r>
    </w:p>
    <w:p>
      <w:pPr>
        <w:pStyle w:val="FirstParagraph"/>
      </w:pPr>
      <w:r>
        <w:t xml:space="preserve">Each of these makes additional predictions — for the redshift evolution of r_texture, for the small-scale substructure in C(r), and for the cross-correlation with weak-lensing alignment statistics — that would distinguish them. We defer this analysis to subsequent work.</w:t>
      </w:r>
    </w:p>
    <w:p>
      <w:pPr>
        <w:pStyle w:val="BodyText"/>
      </w:pPr>
      <w:r>
        <w:t xml:space="preserve">The substructure in C(r) revealed by the poor χ² of the single-exponential fit is itself worth investigation. The two-component fit suggests two characteristic scales, one near 60 Mpc/h and one near 240 Mpc/h, neither of which coincides exactly with the BAO scale. Whether these are statistical artefacts of the catalogue or genuine features of the cosmic web requires re-analysis with an independent filament catalogue (e.g., DisPerSE on SDSS DR16, or a future Euclid filament catalogue).</w:t>
      </w:r>
    </w:p>
    <w:bookmarkEnd w:id="32"/>
    <w:bookmarkStart w:id="33" w:name="conclusion"/>
    <w:p>
      <w:pPr>
        <w:pStyle w:val="Heading1"/>
      </w:pPr>
      <w:r>
        <w:t xml:space="preserve">6. Conclusion</w:t>
      </w:r>
    </w:p>
    <w:p>
      <w:pPr>
        <w:pStyle w:val="FirstParagraph"/>
      </w:pPr>
      <w:r>
        <w:t xml:space="preserve">The two-point orientational correlation function of SDSS DR8 cosmic-web filaments is positive at &gt;5σ in every bin from 30 to 357 Mpc/h, decays approximately exponentially with characteristic length r_texture = 163.0 ± 8.5 Mpc/h, and exhibits an amplitude detection significance of 17.8σ. The texture length lies above the BAO scale, a 1.9σ excess. Subsequent analyses with independent filament catalogues, with redshift binning, and with cross-correlation against weak-lensing statistics, will determine whether this result reflects a generic feature of late-time tidal correlations or a specific imprint of early-universe physics.</w:t>
      </w:r>
    </w:p>
    <w:bookmarkEnd w:id="33"/>
    <w:bookmarkStart w:id="34" w:name="data-and-code-availability"/>
    <w:p>
      <w:pPr>
        <w:pStyle w:val="Heading1"/>
      </w:pPr>
      <w:r>
        <w:t xml:space="preserve">Data and Code Availability</w:t>
      </w:r>
    </w:p>
    <w:p>
      <w:pPr>
        <w:pStyle w:val="FirstParagraph"/>
      </w:pPr>
      <w:r>
        <w:t xml:space="preserve">The Tempel et al. (2014) catalogue is publicly available from VizieR (J/MNRAS/438/3465). Analysis scripts and intermediate data products will be released upon publication.</w:t>
      </w:r>
    </w:p>
    <w:bookmarkEnd w:id="34"/>
    <w:bookmarkStart w:id="35" w:name="references"/>
    <w:p>
      <w:pPr>
        <w:pStyle w:val="Heading1"/>
      </w:pPr>
      <w:r>
        <w:t xml:space="preserve">References</w:t>
      </w:r>
    </w:p>
    <w:p>
      <w:pPr>
        <w:numPr>
          <w:ilvl w:val="0"/>
          <w:numId w:val="1003"/>
        </w:numPr>
        <w:pStyle w:val="Compact"/>
      </w:pPr>
      <w:r>
        <w:t xml:space="preserve">Tempel, E. et al. (2014).</w:t>
      </w:r>
      <w:r>
        <w:t xml:space="preserve"> </w:t>
      </w:r>
      <w:r>
        <w:rPr>
          <w:iCs/>
          <w:i/>
        </w:rPr>
        <w:t xml:space="preserve">Mon. Not. R. Astron. Soc.</w:t>
      </w:r>
      <w:r>
        <w:t xml:space="preserve"> </w:t>
      </w:r>
      <w:r>
        <w:t xml:space="preserve">438, 3465.</w:t>
      </w:r>
      <w:r>
        <w:t xml:space="preserve"> </w:t>
      </w:r>
      <w:r>
        <w:rPr>
          <w:iCs/>
          <w:i/>
        </w:rPr>
        <w:t xml:space="preserve">(Filament catalogue.)</w:t>
      </w:r>
    </w:p>
    <w:p>
      <w:pPr>
        <w:numPr>
          <w:ilvl w:val="0"/>
          <w:numId w:val="1003"/>
        </w:numPr>
        <w:pStyle w:val="Compact"/>
      </w:pPr>
      <w:r>
        <w:t xml:space="preserve">Hirv, A. et al. (2017).</w:t>
      </w:r>
      <w:r>
        <w:t xml:space="preserve"> </w:t>
      </w:r>
      <w:r>
        <w:rPr>
          <w:iCs/>
          <w:i/>
        </w:rPr>
        <w:t xml:space="preserve">Astron. Astrophys.</w:t>
      </w:r>
      <w:r>
        <w:t xml:space="preserve"> </w:t>
      </w:r>
      <w:r>
        <w:t xml:space="preserve">599, A31.</w:t>
      </w:r>
    </w:p>
    <w:p>
      <w:pPr>
        <w:numPr>
          <w:ilvl w:val="0"/>
          <w:numId w:val="1003"/>
        </w:numPr>
        <w:pStyle w:val="Compact"/>
      </w:pPr>
      <w:r>
        <w:t xml:space="preserve">Ganeshaiah Veena, P. et al. (2019).</w:t>
      </w:r>
      <w:r>
        <w:t xml:space="preserve"> </w:t>
      </w:r>
      <w:r>
        <w:rPr>
          <w:iCs/>
          <w:i/>
        </w:rPr>
        <w:t xml:space="preserve">Mon. Not. R. Astron. Soc.</w:t>
      </w:r>
      <w:r>
        <w:t xml:space="preserve"> </w:t>
      </w:r>
      <w:r>
        <w:t xml:space="preserve">487, 1607.</w:t>
      </w:r>
    </w:p>
    <w:p>
      <w:pPr>
        <w:numPr>
          <w:ilvl w:val="0"/>
          <w:numId w:val="1003"/>
        </w:numPr>
        <w:pStyle w:val="Compact"/>
      </w:pPr>
      <w:r>
        <w:t xml:space="preserve">DESI Collaboration (2025). DESI DR2 BAO. arXiv:2503.14738.</w:t>
      </w:r>
    </w:p>
    <w:p>
      <w:pPr>
        <w:numPr>
          <w:ilvl w:val="0"/>
          <w:numId w:val="1003"/>
        </w:numPr>
        <w:pStyle w:val="Compact"/>
      </w:pPr>
      <w:r>
        <w:t xml:space="preserve">Bond, J. R., Kofman, L. &amp; Pogosyan, D. (1996).</w:t>
      </w:r>
      <w:r>
        <w:t xml:space="preserve"> </w:t>
      </w:r>
      <w:r>
        <w:rPr>
          <w:iCs/>
          <w:i/>
        </w:rPr>
        <w:t xml:space="preserve">Nature</w:t>
      </w:r>
      <w:r>
        <w:t xml:space="preserve"> </w:t>
      </w:r>
      <w:r>
        <w:t xml:space="preserve">380, 603.</w:t>
      </w:r>
    </w:p>
    <w:p>
      <w:pPr>
        <w:numPr>
          <w:ilvl w:val="0"/>
          <w:numId w:val="1003"/>
        </w:numPr>
        <w:pStyle w:val="Compact"/>
      </w:pPr>
      <w:r>
        <w:t xml:space="preserve">Sousbie, T. (2011).</w:t>
      </w:r>
      <w:r>
        <w:t xml:space="preserve"> </w:t>
      </w:r>
      <w:r>
        <w:rPr>
          <w:iCs/>
          <w:i/>
        </w:rPr>
        <w:t xml:space="preserve">Mon. Not. R. Astron. Soc.</w:t>
      </w:r>
      <w:r>
        <w:t xml:space="preserve"> </w:t>
      </w:r>
      <w:r>
        <w:t xml:space="preserve">414, 350.</w:t>
      </w:r>
    </w:p>
    <w:p>
      <w:r>
        <w:pict>
          <v:rect style="width:0;height:1.5pt" o:hralign="center" o:hrstd="t" o:hr="t"/>
        </w:pict>
      </w:r>
    </w:p>
    <w:p>
      <w:pPr>
        <w:pStyle w:val="FirstParagraph"/>
      </w:pPr>
      <w:r>
        <w:rPr>
          <w:iCs/>
          <w:i/>
        </w:rPr>
        <w:t xml:space="preserve">Manuscript prepared for double-blind peer review. Author names withheld.</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Long-Range Orientational Correlation of Cosmic Filaments Above the Baryon Acoustic Scale</dc:title>
  <dc:creator>[Author names withheld for double-blind review]</dc:creator>
  <cp:keywords/>
  <dcterms:created xsi:type="dcterms:W3CDTF">2026-04-11T09:05:26Z</dcterms:created>
  <dcterms:modified xsi:type="dcterms:W3CDTF">2026-04-11T09:05:26Z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subtitle">
    <vt:lpwstr>An 18σ Detection in the Tempel et al. 2014 SDSS Filament Catalogue</vt:lpwstr>
  </property>
</Properties>
</file>