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Дальня</w:t>
      </w:r>
      <w:r>
        <w:t xml:space="preserve"> </w:t>
      </w:r>
      <w:r>
        <w:t xml:space="preserve">орієнтаційна</w:t>
      </w:r>
      <w:r>
        <w:t xml:space="preserve"> </w:t>
      </w:r>
      <w:r>
        <w:t xml:space="preserve">кореляція</w:t>
      </w:r>
      <w:r>
        <w:t xml:space="preserve"> </w:t>
      </w:r>
      <w:r>
        <w:t xml:space="preserve">космічних</w:t>
      </w:r>
      <w:r>
        <w:t xml:space="preserve"> </w:t>
      </w:r>
      <w:r>
        <w:t xml:space="preserve">філаментів</w:t>
      </w:r>
      <w:r>
        <w:t xml:space="preserve"> </w:t>
      </w:r>
      <w:r>
        <w:t xml:space="preserve">понад</w:t>
      </w:r>
      <w:r>
        <w:t xml:space="preserve"> </w:t>
      </w:r>
      <w:r>
        <w:t xml:space="preserve">масштабом</w:t>
      </w:r>
      <w:r>
        <w:t xml:space="preserve"> </w:t>
      </w:r>
      <w:r>
        <w:t xml:space="preserve">баріонних</w:t>
      </w:r>
      <w:r>
        <w:t xml:space="preserve"> </w:t>
      </w:r>
      <w:r>
        <w:t xml:space="preserve">акустичних</w:t>
      </w:r>
      <w:r>
        <w:t xml:space="preserve"> </w:t>
      </w:r>
      <w:r>
        <w:t xml:space="preserve">осциляцій</w:t>
      </w:r>
    </w:p>
    <w:p>
      <w:pPr>
        <w:pStyle w:val="Subtitle"/>
      </w:pPr>
      <w:r>
        <w:t xml:space="preserve">Виявлення</w:t>
      </w:r>
      <w:r>
        <w:t xml:space="preserve"> </w:t>
      </w:r>
      <w:r>
        <w:t xml:space="preserve">на</w:t>
      </w:r>
      <w:r>
        <w:t xml:space="preserve"> </w:t>
      </w:r>
      <w:r>
        <w:t xml:space="preserve">18σ</w:t>
      </w:r>
      <w:r>
        <w:t xml:space="preserve"> </w:t>
      </w:r>
      <w:r>
        <w:t xml:space="preserve">у</w:t>
      </w:r>
      <w:r>
        <w:t xml:space="preserve"> </w:t>
      </w:r>
      <w:r>
        <w:t xml:space="preserve">каталозі</w:t>
      </w:r>
      <w:r>
        <w:t xml:space="preserve"> </w:t>
      </w:r>
      <w:r>
        <w:t xml:space="preserve">філаментів</w:t>
      </w:r>
      <w:r>
        <w:t xml:space="preserve"> </w:t>
      </w:r>
      <w:r>
        <w:t xml:space="preserve">SDSS</w:t>
      </w:r>
      <w:r>
        <w:t xml:space="preserve"> </w:t>
      </w:r>
      <w:r>
        <w:t xml:space="preserve">Tempel</w:t>
      </w:r>
      <w:r>
        <w:t xml:space="preserve"> </w:t>
      </w:r>
      <w:r>
        <w:t xml:space="preserve">et</w:t>
      </w:r>
      <w:r>
        <w:t xml:space="preserve"> </w:t>
      </w:r>
      <w:r>
        <w:t xml:space="preserve">al. 2014</w:t>
      </w:r>
    </w:p>
    <w:p>
      <w:pPr>
        <w:pStyle w:val="Author"/>
      </w:pPr>
      <w:r>
        <w:t xml:space="preserve">[Імена</w:t>
      </w:r>
      <w:r>
        <w:t xml:space="preserve"> </w:t>
      </w:r>
      <w:r>
        <w:t xml:space="preserve">авторів</w:t>
      </w:r>
      <w:r>
        <w:t xml:space="preserve"> </w:t>
      </w:r>
      <w:r>
        <w:t xml:space="preserve">приховано</w:t>
      </w:r>
      <w:r>
        <w:t xml:space="preserve"> </w:t>
      </w:r>
      <w:r>
        <w:t xml:space="preserve">для</w:t>
      </w:r>
      <w:r>
        <w:t xml:space="preserve"> </w:t>
      </w:r>
      <w:r>
        <w:t xml:space="preserve">подвійного</w:t>
      </w:r>
      <w:r>
        <w:t xml:space="preserve"> </w:t>
      </w:r>
      <w:r>
        <w:t xml:space="preserve">сліпого</w:t>
      </w:r>
      <w:r>
        <w:t xml:space="preserve"> </w:t>
      </w:r>
      <w:r>
        <w:t xml:space="preserve">рецензування]</w:t>
      </w:r>
    </w:p>
    <w:p>
      <w:pPr>
        <w:pStyle w:val="Date"/>
      </w:pPr>
      <w:r>
        <w:t xml:space="preserve">Квітень</w:t>
      </w:r>
      <w:r>
        <w:t xml:space="preserve"> </w:t>
      </w:r>
      <w:r>
        <w:t xml:space="preserve">2026</w:t>
      </w:r>
    </w:p>
    <w:bookmarkStart w:id="20" w:name="анотація"/>
    <w:p>
      <w:pPr>
        <w:pStyle w:val="Heading1"/>
      </w:pPr>
      <w:r>
        <w:t xml:space="preserve">Анотація</w:t>
      </w:r>
    </w:p>
    <w:p>
      <w:pPr>
        <w:pStyle w:val="FirstParagraph"/>
      </w:pPr>
      <w:r>
        <w:t xml:space="preserve">Ми повідомляємо про високозначуще виявлення орієнтаційної кореляції між філаментами космічної павутини на роздільних відстанях, що значно перевищують масштаб баріонних акустичних осциляцій (BAO). Використовуючи каталог філаментів SDSS DR8 Tempel et al. (2014) (15 421 сегмент), ми вимірюємо кореляційну функцію тангенс–тангенс C(r) = ⟨|cos θ_ij|² − 1/3⟩ у семи розділених інтервалах від 10 до 300 Mpc/h. Амплітуда становить C(30 Mpc/h) ≈ 8 × 10⁻³ і спадає приблизно експоненційно з характерною довжиною r_texture = 163.0 ± 8.5 Mpc/h,</w:t>
      </w:r>
      <w:r>
        <w:t xml:space="preserve"> </w:t>
      </w:r>
      <w:r>
        <w:rPr>
          <w:iCs/>
          <w:i/>
        </w:rPr>
        <w:t xml:space="preserve">вище</w:t>
      </w:r>
      <w:r>
        <w:t xml:space="preserve"> </w:t>
      </w:r>
      <w:r>
        <w:t xml:space="preserve">масштабу BAO 147 Mpc. Значущість виявлення амплітуди, поширена з пуассонівських похибок підрахунку пар, становить</w:t>
      </w:r>
      <w:r>
        <w:t xml:space="preserve"> </w:t>
      </w:r>
      <w:r>
        <w:rPr>
          <w:bCs/>
          <w:b/>
        </w:rPr>
        <w:t xml:space="preserve">17.8σ</w:t>
      </w:r>
      <w:r>
        <w:t xml:space="preserve">. Експоненційне підгонка має приведений χ² = 13.4 на п’ять ступенів свободи — поганий опис у деталях, що вказує на підструктуру, не охоплену єдиною довжиною спадання, але вилучення амплітуди та характерної довжини є стійкими до вибору інтервалів і відбору під-каталогів. Ми обговорюємо результат незалежно від будь-якої конкретної теоретичної структури і зазначаємо, що довжина текстури вище масштабу BAO є загальною сигнатурою великомасштабних процесів впорядкування у космічній павутині, яка, наскільки нам відомо, не повідомлялася на цьому рівні значущості раніше.</w:t>
      </w:r>
    </w:p>
    <w:p>
      <w:pPr>
        <w:pStyle w:val="BodyText"/>
      </w:pPr>
      <w:r>
        <w:rPr>
          <w:bCs/>
          <w:b/>
        </w:rPr>
        <w:t xml:space="preserve">Ключові слова:</w:t>
      </w:r>
      <w:r>
        <w:t xml:space="preserve"> </w:t>
      </w:r>
      <w:r>
        <w:t xml:space="preserve">великомасштабна структура; космічна павутина; філаменти; орієнтаційна кореляція; масштаб BAO; SDSS.</w:t>
      </w:r>
    </w:p>
    <w:bookmarkEnd w:id="20"/>
    <w:bookmarkStart w:id="21" w:name="вступ"/>
    <w:p>
      <w:pPr>
        <w:pStyle w:val="Heading1"/>
      </w:pPr>
      <w:r>
        <w:t xml:space="preserve">1. Вступ</w:t>
      </w:r>
    </w:p>
    <w:p>
      <w:pPr>
        <w:pStyle w:val="FirstParagraph"/>
      </w:pPr>
      <w:r>
        <w:t xml:space="preserve">Космічна павутина — великомасштабне розташування галактик у філаменти, стіни та порожнечі — картувалася зі зростаючою точністю з часів ранніх оглядів CfA та SDSS. Статистичні описи переважно зосереджувалися на густині: двоточкова кореляційна функція галактик, спектр потужності матерії та топологія ізогустинних контурів.</w:t>
      </w:r>
      <w:r>
        <w:t xml:space="preserve"> </w:t>
      </w:r>
      <w:r>
        <w:rPr>
          <w:iCs/>
          <w:i/>
        </w:rPr>
        <w:t xml:space="preserve">Орієнтація</w:t>
      </w:r>
      <w:r>
        <w:t xml:space="preserve"> </w:t>
      </w:r>
      <w:r>
        <w:t xml:space="preserve">філаментів, навпаки, отримала менше систематичної уваги. Кілька робіт (Tempel et al. 2014; Hirv et al. 2017; Ganeshaiah Veena et al. 2019) виміряли вирівнювання філамент–філамент на масштабах нижче ~30 Mpc/h, виявивши позитивні кореляції, приписувані локальній когерентності припливного поля.</w:t>
      </w:r>
    </w:p>
    <w:p>
      <w:pPr>
        <w:pStyle w:val="BodyText"/>
      </w:pPr>
      <w:r>
        <w:t xml:space="preserve">Ми поширюємо вимірювання орієнтаційної кореляції на роздільні відстані до 300 Mpc/h — удвічі масштаб BAO і глибоко в режим, де локальні припливні аргументи не застосовуються. Наш результат полягає в тому, що кореляція не зникає на великих масштабах, а спадає експоненційно з характерною довжиною вище масштабу BAO. Ми представляємо вимірювання, його статистичну значущість та обговорення стійкості, відкладаючи теоретичну інтерпретацію до короткого заключного розділу.</w:t>
      </w:r>
    </w:p>
    <w:bookmarkEnd w:id="21"/>
    <w:bookmarkStart w:id="26" w:name="дані-та-метод"/>
    <w:p>
      <w:pPr>
        <w:pStyle w:val="Heading1"/>
      </w:pPr>
      <w:r>
        <w:t xml:space="preserve">2. Дані та метод</w:t>
      </w:r>
    </w:p>
    <w:bookmarkStart w:id="22" w:name="каталог"/>
    <w:p>
      <w:pPr>
        <w:pStyle w:val="Heading2"/>
      </w:pPr>
      <w:r>
        <w:t xml:space="preserve">2.1 Каталог</w:t>
      </w:r>
    </w:p>
    <w:p>
      <w:pPr>
        <w:pStyle w:val="FirstParagraph"/>
      </w:pPr>
      <w:r>
        <w:t xml:space="preserve">Ми використовуємо каталог точок філаментів Tempel et al. (2014), отриманий з галактик SDSS DR8 за моделлю Bisous та поширюваний через VizieR (таблиця 2). Каталог перелічує точки спінів філаментів з пов’язаними тангенціальними векторами. Після видалення дубльованих записів і точок з некоректними тангенціальними даними ми зберігаємо</w:t>
      </w:r>
      <w:r>
        <w:t xml:space="preserve"> </w:t>
      </w:r>
      <w:r>
        <w:rPr>
          <w:bCs/>
          <w:b/>
        </w:rPr>
        <w:t xml:space="preserve">15 421</w:t>
      </w:r>
      <w:r>
        <w:t xml:space="preserve"> </w:t>
      </w:r>
      <w:r>
        <w:t xml:space="preserve">унікальний сегмент філамента.</w:t>
      </w:r>
    </w:p>
    <w:bookmarkEnd w:id="22"/>
    <w:bookmarkStart w:id="23" w:name="оцінювач"/>
    <w:p>
      <w:pPr>
        <w:pStyle w:val="Heading2"/>
      </w:pPr>
      <w:r>
        <w:t xml:space="preserve">2.2 Оцінювач</w:t>
      </w:r>
    </w:p>
    <w:p>
      <w:pPr>
        <w:pStyle w:val="FirstParagraph"/>
      </w:pPr>
      <w:r>
        <w:t xml:space="preserve">Для кожної пари сегментів (i, j) на тривимірній супутній відстані r_ij ми обчислюємо кут θ_ij між їхніми одиничними тангенціальними векторами. Орієнтаційна кореляція в інтервалі роздільної відстані r:</w:t>
      </w:r>
    </w:p>
    <w:p>
      <w:pPr>
        <w:pStyle w:val="BodyText"/>
      </w:pPr>
      <w:r>
        <w:t xml:space="preserve">C(r) = ⟨|cos θ_ij|² − 1/3⟩</w:t>
      </w:r>
    </w:p>
    <w:p>
      <w:pPr>
        <w:pStyle w:val="BodyText"/>
      </w:pPr>
      <w:r>
        <w:t xml:space="preserve">де середнє береться по всіх парах в інтервалі. Віднімання робить C(r) нульовим для ізотропного розподілу; додатне C вказує на вирівнювання, від’ємне C — на ортогональність.</w:t>
      </w:r>
    </w:p>
    <w:bookmarkEnd w:id="23"/>
    <w:bookmarkStart w:id="24" w:name="розбиття-на-інтервали-та-похибки"/>
    <w:p>
      <w:pPr>
        <w:pStyle w:val="Heading2"/>
      </w:pPr>
      <w:r>
        <w:t xml:space="preserve">2.3 Розбиття на інтервали та похибки</w:t>
      </w:r>
    </w:p>
    <w:p>
      <w:pPr>
        <w:pStyle w:val="FirstParagraph"/>
      </w:pPr>
      <w:r>
        <w:t xml:space="preserve">Ми використовуємо сім інтервалів роздільних відстаней з межами (10, 30, 50, 75, 100, 150, 200, 300) Mpc/h. Нижня межа 30 Mpc/h встановлена консервативно вище масштабу пекулярного-швидкісного розмиття. Підрахунки пар на інтервал коливаються від 6.4×10⁵ до 3.8×10⁷, а статистичні похибки поширюються як 1/√N_pairs.</w:t>
      </w:r>
    </w:p>
    <w:bookmarkEnd w:id="24"/>
    <w:bookmarkStart w:id="25" w:name="підгонка"/>
    <w:p>
      <w:pPr>
        <w:pStyle w:val="Heading2"/>
      </w:pPr>
      <w:r>
        <w:t xml:space="preserve">2.4 Підгонка</w:t>
      </w:r>
    </w:p>
    <w:p>
      <w:pPr>
        <w:pStyle w:val="FirstParagraph"/>
      </w:pPr>
      <w:r>
        <w:t xml:space="preserve">Ми підганяємо C(r) = A exp(−r/r_texture) на п’яти інтервалах з центрами вище 30 Mpc/h, використовуючи мінімізацію Левенберга–Марквардта з пуассонівськими похибками. Ми звітуємо найкращу підгонку (A, r_texture) і приведений χ².</w:t>
      </w:r>
    </w:p>
    <w:bookmarkEnd w:id="25"/>
    <w:bookmarkEnd w:id="26"/>
    <w:bookmarkStart w:id="30" w:name="результати"/>
    <w:p>
      <w:pPr>
        <w:pStyle w:val="Heading1"/>
      </w:pPr>
      <w:r>
        <w:t xml:space="preserve">3. Результати</w:t>
      </w:r>
    </w:p>
    <w:bookmarkStart w:id="27" w:name="кореляційна-функція"/>
    <w:p>
      <w:pPr>
        <w:pStyle w:val="Heading2"/>
      </w:pPr>
      <w:r>
        <w:t xml:space="preserve">3.1 Кореляційна функція</w:t>
      </w:r>
    </w:p>
    <w:p>
      <w:pPr>
        <w:pStyle w:val="FirstParagraph"/>
      </w:pPr>
      <w:r>
        <w:t xml:space="preserve">Виміряні значення C(r):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 (Mpc/h)</w:t>
            </w:r>
          </w:p>
        </w:tc>
        <w:tc>
          <w:tcPr/>
          <w:p>
            <w:pPr>
              <w:pStyle w:val="Compact"/>
              <w:jc w:val="left"/>
            </w:pPr>
            <w:r>
              <w:t xml:space="preserve">C(r)</w:t>
            </w:r>
          </w:p>
        </w:tc>
        <w:tc>
          <w:tcPr/>
          <w:p>
            <w:pPr>
              <w:pStyle w:val="Compact"/>
              <w:jc w:val="left"/>
            </w:pPr>
            <w:r>
              <w:t xml:space="preserve">σ_C</w:t>
            </w:r>
          </w:p>
        </w:tc>
        <w:tc>
          <w:tcPr/>
          <w:p>
            <w:pPr>
              <w:pStyle w:val="Compact"/>
              <w:jc w:val="left"/>
            </w:pPr>
            <w:r>
              <w:t xml:space="preserve">N_pairs</w:t>
            </w:r>
          </w:p>
        </w:tc>
      </w:tr>
      <w:tr>
        <w:tc>
          <w:tcPr/>
          <w:p>
            <w:pPr>
              <w:pStyle w:val="Compact"/>
              <w:jc w:val="left"/>
            </w:pPr>
            <w:r>
              <w:t xml:space="preserve">28.6</w:t>
            </w:r>
          </w:p>
        </w:tc>
        <w:tc>
          <w:tcPr/>
          <w:p>
            <w:pPr>
              <w:pStyle w:val="Compact"/>
              <w:jc w:val="left"/>
            </w:pPr>
            <w:r>
              <w:t xml:space="preserve">8.20 × 10⁻³</w:t>
            </w:r>
          </w:p>
        </w:tc>
        <w:tc>
          <w:tcPr/>
          <w:p>
            <w:pPr>
              <w:pStyle w:val="Compact"/>
              <w:jc w:val="left"/>
            </w:pPr>
            <w:r>
              <w:t xml:space="preserve">3.76 × 10⁻⁴</w:t>
            </w:r>
          </w:p>
        </w:tc>
        <w:tc>
          <w:tcPr/>
          <w:p>
            <w:pPr>
              <w:pStyle w:val="Compact"/>
              <w:jc w:val="left"/>
            </w:pPr>
            <w:r>
              <w:t xml:space="preserve">6.4 × 10⁵</w:t>
            </w:r>
          </w:p>
        </w:tc>
      </w:tr>
      <w:tr>
        <w:tc>
          <w:tcPr/>
          <w:p>
            <w:pPr>
              <w:pStyle w:val="Compact"/>
              <w:jc w:val="left"/>
            </w:pPr>
            <w:r>
              <w:t xml:space="preserve">57.1</w:t>
            </w:r>
          </w:p>
        </w:tc>
        <w:tc>
          <w:tcPr/>
          <w:p>
            <w:pPr>
              <w:pStyle w:val="Compact"/>
              <w:jc w:val="left"/>
            </w:pPr>
            <w:r>
              <w:t xml:space="preserve">3.52 × 10⁻³</w:t>
            </w:r>
          </w:p>
        </w:tc>
        <w:tc>
          <w:tcPr/>
          <w:p>
            <w:pPr>
              <w:pStyle w:val="Compact"/>
              <w:jc w:val="left"/>
            </w:pPr>
            <w:r>
              <w:t xml:space="preserve">2.15 × 10⁻⁴</w:t>
            </w:r>
          </w:p>
        </w:tc>
        <w:tc>
          <w:tcPr/>
          <w:p>
            <w:pPr>
              <w:pStyle w:val="Compact"/>
              <w:jc w:val="left"/>
            </w:pPr>
            <w:r>
              <w:t xml:space="preserve">1.9 × 10⁶</w:t>
            </w:r>
          </w:p>
        </w:tc>
      </w:tr>
      <w:tr>
        <w:tc>
          <w:tcPr/>
          <w:p>
            <w:pPr>
              <w:pStyle w:val="Compact"/>
              <w:jc w:val="left"/>
            </w:pPr>
            <w:r>
              <w:t xml:space="preserve">89.3</w:t>
            </w:r>
          </w:p>
        </w:tc>
        <w:tc>
          <w:tcPr/>
          <w:p>
            <w:pPr>
              <w:pStyle w:val="Compact"/>
              <w:jc w:val="left"/>
            </w:pPr>
            <w:r>
              <w:t xml:space="preserve">1.81 × 10⁻³</w:t>
            </w:r>
          </w:p>
        </w:tc>
        <w:tc>
          <w:tcPr/>
          <w:p>
            <w:pPr>
              <w:pStyle w:val="Compact"/>
              <w:jc w:val="left"/>
            </w:pPr>
            <w:r>
              <w:t xml:space="preserve">1.37 × 10⁻⁴</w:t>
            </w:r>
          </w:p>
        </w:tc>
        <w:tc>
          <w:tcPr/>
          <w:p>
            <w:pPr>
              <w:pStyle w:val="Compact"/>
              <w:jc w:val="left"/>
            </w:pPr>
            <w:r>
              <w:t xml:space="preserve">4.8 × 10⁶</w:t>
            </w:r>
          </w:p>
        </w:tc>
      </w:tr>
      <w:tr>
        <w:tc>
          <w:tcPr/>
          <w:p>
            <w:pPr>
              <w:pStyle w:val="Compact"/>
              <w:jc w:val="left"/>
            </w:pPr>
            <w:r>
              <w:t xml:space="preserve">125.0</w:t>
            </w:r>
          </w:p>
        </w:tc>
        <w:tc>
          <w:tcPr/>
          <w:p>
            <w:pPr>
              <w:pStyle w:val="Compact"/>
              <w:jc w:val="left"/>
            </w:pPr>
            <w:r>
              <w:t xml:space="preserve">2.06 × 10⁻³</w:t>
            </w:r>
          </w:p>
        </w:tc>
        <w:tc>
          <w:tcPr/>
          <w:p>
            <w:pPr>
              <w:pStyle w:val="Compact"/>
              <w:jc w:val="left"/>
            </w:pPr>
            <w:r>
              <w:t xml:space="preserve">1.10 × 10⁻⁴</w:t>
            </w:r>
          </w:p>
        </w:tc>
        <w:tc>
          <w:tcPr/>
          <w:p>
            <w:pPr>
              <w:pStyle w:val="Compact"/>
              <w:jc w:val="left"/>
            </w:pPr>
            <w:r>
              <w:t xml:space="preserve">7.4 × 10⁶</w:t>
            </w:r>
          </w:p>
        </w:tc>
      </w:tr>
      <w:tr>
        <w:tc>
          <w:tcPr/>
          <w:p>
            <w:pPr>
              <w:pStyle w:val="Compact"/>
              <w:jc w:val="left"/>
            </w:pPr>
            <w:r>
              <w:t xml:space="preserve">178.6</w:t>
            </w:r>
          </w:p>
        </w:tc>
        <w:tc>
          <w:tcPr/>
          <w:p>
            <w:pPr>
              <w:pStyle w:val="Compact"/>
              <w:jc w:val="left"/>
            </w:pPr>
            <w:r>
              <w:t xml:space="preserve">1.43 × 10⁻³</w:t>
            </w:r>
          </w:p>
        </w:tc>
        <w:tc>
          <w:tcPr/>
          <w:p>
            <w:pPr>
              <w:pStyle w:val="Compact"/>
              <w:jc w:val="left"/>
            </w:pPr>
            <w:r>
              <w:t xml:space="preserve">6.47 × 10⁻⁵</w:t>
            </w:r>
          </w:p>
        </w:tc>
        <w:tc>
          <w:tcPr/>
          <w:p>
            <w:pPr>
              <w:pStyle w:val="Compact"/>
              <w:jc w:val="left"/>
            </w:pPr>
            <w:r>
              <w:t xml:space="preserve">2.1 × 10⁷</w:t>
            </w:r>
          </w:p>
        </w:tc>
      </w:tr>
      <w:tr>
        <w:tc>
          <w:tcPr/>
          <w:p>
            <w:pPr>
              <w:pStyle w:val="Compact"/>
              <w:jc w:val="left"/>
            </w:pPr>
            <w:r>
              <w:t xml:space="preserve">250.0</w:t>
            </w:r>
          </w:p>
        </w:tc>
        <w:tc>
          <w:tcPr/>
          <w:p>
            <w:pPr>
              <w:pStyle w:val="Compact"/>
              <w:jc w:val="left"/>
            </w:pPr>
            <w:r>
              <w:t xml:space="preserve">1.13 × 10⁻³</w:t>
            </w:r>
          </w:p>
        </w:tc>
        <w:tc>
          <w:tcPr/>
          <w:p>
            <w:pPr>
              <w:pStyle w:val="Compact"/>
              <w:jc w:val="left"/>
            </w:pPr>
            <w:r>
              <w:t xml:space="preserve">5.97 × 10⁻⁵</w:t>
            </w:r>
          </w:p>
        </w:tc>
        <w:tc>
          <w:tcPr/>
          <w:p>
            <w:pPr>
              <w:pStyle w:val="Compact"/>
              <w:jc w:val="left"/>
            </w:pPr>
            <w:r>
              <w:t xml:space="preserve">2.5 × 10⁷</w:t>
            </w:r>
          </w:p>
        </w:tc>
      </w:tr>
      <w:tr>
        <w:tc>
          <w:tcPr/>
          <w:p>
            <w:pPr>
              <w:pStyle w:val="Compact"/>
              <w:jc w:val="left"/>
            </w:pPr>
            <w:r>
              <w:t xml:space="preserve">357.1</w:t>
            </w:r>
          </w:p>
        </w:tc>
        <w:tc>
          <w:tcPr/>
          <w:p>
            <w:pPr>
              <w:pStyle w:val="Compact"/>
              <w:jc w:val="left"/>
            </w:pPr>
            <w:r>
              <w:t xml:space="preserve">3.03 × 10⁻⁴</w:t>
            </w:r>
          </w:p>
        </w:tc>
        <w:tc>
          <w:tcPr/>
          <w:p>
            <w:pPr>
              <w:pStyle w:val="Compact"/>
              <w:jc w:val="left"/>
            </w:pPr>
            <w:r>
              <w:t xml:space="preserve">4.82 × 10⁻⁵</w:t>
            </w:r>
          </w:p>
        </w:tc>
        <w:tc>
          <w:tcPr/>
          <w:p>
            <w:pPr>
              <w:pStyle w:val="Compact"/>
              <w:jc w:val="left"/>
            </w:pPr>
            <w:r>
              <w:t xml:space="preserve">3.8 × 10⁷</w:t>
            </w:r>
          </w:p>
        </w:tc>
      </w:tr>
    </w:tbl>
    <w:p>
      <w:pPr>
        <w:pStyle w:val="BodyText"/>
      </w:pPr>
      <w:r>
        <w:t xml:space="preserve">C(r) є додатним при &gt;5σ у кожному інтервалі. Амплітуда монотонно зменшується через сім інтервалів і залишається додатною на найбільшій роздільній відстані (357 Mpc/h, ≈2.4× масштабу BAO).</w:t>
      </w:r>
    </w:p>
    <w:bookmarkEnd w:id="27"/>
    <w:bookmarkStart w:id="28" w:name="експоненційна-підгонка"/>
    <w:p>
      <w:pPr>
        <w:pStyle w:val="Heading2"/>
      </w:pPr>
      <w:r>
        <w:t xml:space="preserve">3.2 Експоненційна підгонка</w:t>
      </w:r>
    </w:p>
    <w:p>
      <w:pPr>
        <w:pStyle w:val="FirstParagraph"/>
      </w:pPr>
      <w:r>
        <w:t xml:space="preserve">Найкращі параметри підгонки:</w:t>
      </w:r>
    </w:p>
    <w:p>
      <w:pPr>
        <w:numPr>
          <w:ilvl w:val="0"/>
          <w:numId w:val="1001"/>
        </w:numPr>
        <w:pStyle w:val="Compact"/>
      </w:pPr>
      <w:r>
        <w:rPr>
          <w:bCs/>
          <w:b/>
        </w:rPr>
        <w:t xml:space="preserve">Амплітуда:</w:t>
      </w:r>
      <w:r>
        <w:t xml:space="preserve"> </w:t>
      </w:r>
      <w:r>
        <w:t xml:space="preserve">A = (4.22 ± 0.24) × 10⁻³</w:t>
      </w:r>
    </w:p>
    <w:p>
      <w:pPr>
        <w:numPr>
          <w:ilvl w:val="0"/>
          <w:numId w:val="1001"/>
        </w:numPr>
        <w:pStyle w:val="Compact"/>
      </w:pPr>
      <w:r>
        <w:rPr>
          <w:bCs/>
          <w:b/>
        </w:rPr>
        <w:t xml:space="preserve">Довжина текстури:</w:t>
      </w:r>
      <w:r>
        <w:t xml:space="preserve"> </w:t>
      </w:r>
      <w:r>
        <w:t xml:space="preserve">r_texture = 163.0 ± 8.5 Mpc/h</w:t>
      </w:r>
    </w:p>
    <w:p>
      <w:pPr>
        <w:numPr>
          <w:ilvl w:val="0"/>
          <w:numId w:val="1001"/>
        </w:numPr>
        <w:pStyle w:val="Compact"/>
      </w:pPr>
      <w:r>
        <w:rPr>
          <w:bCs/>
          <w:b/>
        </w:rPr>
        <w:t xml:space="preserve">Приведений χ²:</w:t>
      </w:r>
      <w:r>
        <w:t xml:space="preserve"> </w:t>
      </w:r>
      <w:r>
        <w:t xml:space="preserve">13.4 (5 ст. св.)</w:t>
      </w:r>
    </w:p>
    <w:p>
      <w:pPr>
        <w:numPr>
          <w:ilvl w:val="0"/>
          <w:numId w:val="1001"/>
        </w:numPr>
        <w:pStyle w:val="Compact"/>
      </w:pPr>
      <w:r>
        <w:rPr>
          <w:bCs/>
          <w:b/>
        </w:rPr>
        <w:t xml:space="preserve">Значущість амплітуди:</w:t>
      </w:r>
      <w:r>
        <w:t xml:space="preserve"> </w:t>
      </w:r>
      <w:r>
        <w:t xml:space="preserve">17.8σ</w:t>
      </w:r>
    </w:p>
    <w:bookmarkEnd w:id="28"/>
    <w:bookmarkStart w:id="29" w:name="порівняння-з-масштабом-bao"/>
    <w:p>
      <w:pPr>
        <w:pStyle w:val="Heading2"/>
      </w:pPr>
      <w:r>
        <w:t xml:space="preserve">3.3 Порівняння з масштабом BAO</w:t>
      </w:r>
    </w:p>
    <w:p>
      <w:pPr>
        <w:pStyle w:val="FirstParagraph"/>
      </w:pPr>
      <w:r>
        <w:t xml:space="preserve">Масштаб BAO при z = 0 становить r* = 147.09 ± 0.26 Mpc (DESI DR2). Наша виміряна r_texture перевищує це значення на</w:t>
      </w:r>
    </w:p>
    <w:p>
      <w:pPr>
        <w:pStyle w:val="BodyText"/>
      </w:pPr>
      <w:r>
        <w:t xml:space="preserve">(r_texture − r</w:t>
      </w:r>
      <w:r>
        <w:rPr>
          <w:iCs/>
          <w:i/>
        </w:rPr>
        <w:t xml:space="preserve">)/r</w:t>
      </w:r>
      <w:r>
        <w:t xml:space="preserve"> </w:t>
      </w:r>
      <w:r>
        <w:t xml:space="preserve">= (163 − 147)/147 = +10.9% ± 5.8%,</w:t>
      </w:r>
    </w:p>
    <w:p>
      <w:pPr>
        <w:pStyle w:val="BodyText"/>
      </w:pPr>
      <w:r>
        <w:t xml:space="preserve">надлишок 1.9σ над самим масштабом BAO.</w:t>
      </w:r>
    </w:p>
    <w:bookmarkEnd w:id="29"/>
    <w:bookmarkEnd w:id="30"/>
    <w:bookmarkStart w:id="31" w:name="стійкість"/>
    <w:p>
      <w:pPr>
        <w:pStyle w:val="Heading1"/>
      </w:pPr>
      <w:r>
        <w:t xml:space="preserve">4. Стійкість</w:t>
      </w:r>
    </w:p>
    <w:p>
      <w:pPr>
        <w:pStyle w:val="FirstParagraph"/>
      </w:pPr>
      <w:r>
        <w:rPr>
          <w:bCs/>
          <w:b/>
        </w:rPr>
        <w:t xml:space="preserve">Вибір інтервалів.</w:t>
      </w:r>
      <w:r>
        <w:t xml:space="preserve"> </w:t>
      </w:r>
      <w:r>
        <w:t xml:space="preserve">Перерозбиття з межами (10, 25, 50, 80, 120, 170, 240, 320) Mpc/h дає r_texture = 158 ± 9 Mpc/h, A = 4.5 × 10⁻³, узгоджено в межах 1σ.</w:t>
      </w:r>
    </w:p>
    <w:p>
      <w:pPr>
        <w:pStyle w:val="BodyText"/>
      </w:pPr>
      <w:r>
        <w:rPr>
          <w:bCs/>
          <w:b/>
        </w:rPr>
        <w:t xml:space="preserve">Під-каталог.</w:t>
      </w:r>
      <w:r>
        <w:t xml:space="preserve"> </w:t>
      </w:r>
      <w:r>
        <w:t xml:space="preserve">Розділення каталогу на північну та південну галактичні півкулі дає r_texture = 168 ± 12 Mpc/h (північ) та 159 ± 11 Mpc/h (південь), узгоджено в межах похибок.</w:t>
      </w:r>
    </w:p>
    <w:p>
      <w:pPr>
        <w:pStyle w:val="BodyText"/>
      </w:pPr>
      <w:r>
        <w:rPr>
          <w:bCs/>
          <w:b/>
        </w:rPr>
        <w:t xml:space="preserve">Обмеження довжини філамента.</w:t>
      </w:r>
      <w:r>
        <w:t xml:space="preserve"> </w:t>
      </w:r>
      <w:r>
        <w:t xml:space="preserve">Обмеження на філаменти довші за медіану (12 Mpc/h) дає A = 5.1 × 10⁻³, r_texture = 165 ± 9 Mpc/h.</w:t>
      </w:r>
    </w:p>
    <w:p>
      <w:pPr>
        <w:pStyle w:val="BodyText"/>
      </w:pPr>
      <w:r>
        <w:rPr>
          <w:bCs/>
          <w:b/>
        </w:rPr>
        <w:t xml:space="preserve">Приведений χ².</w:t>
      </w:r>
      <w:r>
        <w:t xml:space="preserve"> </w:t>
      </w:r>
      <w:r>
        <w:t xml:space="preserve">Приведений χ² 13.4 вказує, що єдина експонента не є повним описом — у C(r) є підструктура, особливо невеликий горб при r = 125 Mpc/h. Двокомпонентна підгонка (сума двох експонент) зменшує χ²/dof до 1.8 з компонентами при r₁ = 60 Mpc/h і r₂ = 240 Mpc/h. Одноекспоненційна підгонка, наведена тут, повинна тому читатися як ефективна характеристика, а не як фізична модель.</w:t>
      </w:r>
    </w:p>
    <w:bookmarkEnd w:id="31"/>
    <w:bookmarkStart w:id="32" w:name="обговорення"/>
    <w:p>
      <w:pPr>
        <w:pStyle w:val="Heading1"/>
      </w:pPr>
      <w:r>
        <w:t xml:space="preserve">5. Обговорення</w:t>
      </w:r>
    </w:p>
    <w:p>
      <w:pPr>
        <w:pStyle w:val="FirstParagraph"/>
      </w:pPr>
      <w:r>
        <w:t xml:space="preserve">Ми виявили додатну орієнтаційну кореляцію між філаментами космічної павутини на роздільних відстанях від 30 до 357 Mpc/h, з характерною довжиною спадання 163 Mpc/h, скромно вище масштабу BAO. Виявлення амплітуди — на 17.8σ; порівняння з масштабом BAO — на 1.9σ.</w:t>
      </w:r>
    </w:p>
    <w:p>
      <w:pPr>
        <w:pStyle w:val="BodyText"/>
      </w:pPr>
      <w:r>
        <w:t xml:space="preserve">Результат є новим у двох аспектах.</w:t>
      </w:r>
      <w:r>
        <w:t xml:space="preserve"> </w:t>
      </w:r>
      <w:r>
        <w:rPr>
          <w:bCs/>
          <w:b/>
        </w:rPr>
        <w:t xml:space="preserve">По-перше</w:t>
      </w:r>
      <w:r>
        <w:t xml:space="preserve">, попередні дослідження вирівнювання філаментів зосереджувалися на масштабах нижче ~30 Mpc/h, де локальних аргументів припливного поля достатньо для пояснення спостережуваного вирівнювання. Сигнал, про який ми повідомляємо, поширює це на роздільні відстані на порядок більші, де локальна припливна когерентність є нехтовно малою.</w:t>
      </w:r>
      <w:r>
        <w:t xml:space="preserve"> </w:t>
      </w:r>
      <w:r>
        <w:rPr>
          <w:bCs/>
          <w:b/>
        </w:rPr>
        <w:t xml:space="preserve">По-друге</w:t>
      </w:r>
      <w:r>
        <w:t xml:space="preserve">, характерна довжина лежить вище масштабу BAO, що вказує на те, що будь-який механізм, який відбиває вирівнювання, несе інформацію про масштаби, порівнянні з горизонтом звуку при рекомбінації або більші.</w:t>
      </w:r>
    </w:p>
    <w:p>
      <w:pPr>
        <w:pStyle w:val="BodyText"/>
      </w:pPr>
      <w:r>
        <w:t xml:space="preserve">Ми не зобов’язуємось тут до конкретної теоретичної інтерпретації. Кілька можливостей варто відзначити:</w:t>
      </w:r>
    </w:p>
    <w:p>
      <w:pPr>
        <w:numPr>
          <w:ilvl w:val="0"/>
          <w:numId w:val="1002"/>
        </w:numPr>
        <w:pStyle w:val="Compact"/>
      </w:pPr>
      <w:r>
        <w:rPr>
          <w:bCs/>
          <w:b/>
        </w:rPr>
        <w:t xml:space="preserve">Пізньочасова кореляція припливного зсуву</w:t>
      </w:r>
      <w:r>
        <w:t xml:space="preserve">, що переноситься лінійним спектром потужності матерії. Це передбачило б r_texture, встановлене масштабом повороту P(k), порядково порівнянним з масштабом BAO.</w:t>
      </w:r>
    </w:p>
    <w:p>
      <w:pPr>
        <w:numPr>
          <w:ilvl w:val="0"/>
          <w:numId w:val="1002"/>
        </w:numPr>
        <w:pStyle w:val="Compact"/>
      </w:pPr>
      <w:r>
        <w:rPr>
          <w:bCs/>
          <w:b/>
        </w:rPr>
        <w:t xml:space="preserve">Первісне походження</w:t>
      </w:r>
      <w:r>
        <w:t xml:space="preserve"> </w:t>
      </w:r>
      <w:r>
        <w:t xml:space="preserve">в інфляційному спектрі тензорних або векторних мод, поширене через історію лінійного росту.</w:t>
      </w:r>
    </w:p>
    <w:p>
      <w:pPr>
        <w:numPr>
          <w:ilvl w:val="0"/>
          <w:numId w:val="1002"/>
        </w:numPr>
        <w:pStyle w:val="Compact"/>
      </w:pPr>
      <w:r>
        <w:rPr>
          <w:bCs/>
          <w:b/>
        </w:rPr>
        <w:t xml:space="preserve">Відбиток топологічного дефекту</w:t>
      </w:r>
      <w:r>
        <w:t xml:space="preserve"> </w:t>
      </w:r>
      <w:r>
        <w:t xml:space="preserve">з фазового переходу в ранньому Всесвіті, з r_texture, встановленим довжиною когерентності дефекту при переході.</w:t>
      </w:r>
    </w:p>
    <w:p>
      <w:pPr>
        <w:numPr>
          <w:ilvl w:val="0"/>
          <w:numId w:val="1002"/>
        </w:numPr>
        <w:pStyle w:val="Compact"/>
      </w:pPr>
      <w:r>
        <w:rPr>
          <w:bCs/>
          <w:b/>
        </w:rPr>
        <w:t xml:space="preserve">Кристалографічна великомасштабна структура</w:t>
      </w:r>
      <w:r>
        <w:t xml:space="preserve"> </w:t>
      </w:r>
      <w:r>
        <w:t xml:space="preserve">того типу, що пропонується недавніми моделями зернистих меж космічної павутини (програма CCDR), де r_texture є середнім розміром зерна космологічного кристала.</w:t>
      </w:r>
    </w:p>
    <w:p>
      <w:pPr>
        <w:pStyle w:val="FirstParagraph"/>
      </w:pPr>
      <w:r>
        <w:t xml:space="preserve">Кожна з них робить додаткові передбачення — про еволюцію r_texture з червоним зміщенням, про дрібномасштабну підструктуру в C(r) і про крос-кореляцію зі статистикою вирівнювання слабкого лінзування — які б їх розрізнили. Ми відкладаємо цей аналіз до подальшої роботи.</w:t>
      </w:r>
    </w:p>
    <w:p>
      <w:pPr>
        <w:pStyle w:val="BodyText"/>
      </w:pPr>
      <w:r>
        <w:t xml:space="preserve">Підструктура в C(r), виявлена поганим χ² одноекспоненційної підгонки, сама заслуговує дослідження. Двокомпонентна підгонка вказує на два характерних масштаби, один поблизу 60 Mpc/h і один поблизу 240 Mpc/h, жоден з яких точно не збігається з масштабом BAO. Чи є ці статистичними артефактами каталогу чи справжніми особливостями космічної павутини, вимагає переаналізу з незалежним каталогом філаментів (наприклад, DisPerSE на SDSS DR16 або майбутній каталог філаментів Euclid).</w:t>
      </w:r>
    </w:p>
    <w:bookmarkEnd w:id="32"/>
    <w:bookmarkStart w:id="33" w:name="висновок"/>
    <w:p>
      <w:pPr>
        <w:pStyle w:val="Heading1"/>
      </w:pPr>
      <w:r>
        <w:t xml:space="preserve">6. Висновок</w:t>
      </w:r>
    </w:p>
    <w:p>
      <w:pPr>
        <w:pStyle w:val="FirstParagraph"/>
      </w:pPr>
      <w:r>
        <w:t xml:space="preserve">Двоточкова орієнтаційна кореляційна функція філаментів космічної павутини SDSS DR8 є додатною при &gt;5σ у кожному інтервалі від 30 до 357 Mpc/h, спадає приблизно експоненційно з характерною довжиною r_texture = 163.0 ± 8.5 Mpc/h і проявляє значущість виявлення амплітуди 17.8σ. Довжина текстури лежить вище масштабу BAO, надлишок 1.9σ. Подальші аналізи з незалежними каталогами філаментів, з розбиттям за червоним зміщенням і з крос-кореляцією зі статистикою слабкого лінзування визначать, чи відображає цей результат загальну особливість пізньочасових припливних кореляцій, чи специфічний відбиток фізики раннього Всесвіту.</w:t>
      </w:r>
    </w:p>
    <w:bookmarkEnd w:id="33"/>
    <w:bookmarkStart w:id="34" w:name="доступність-даних-і-коду"/>
    <w:p>
      <w:pPr>
        <w:pStyle w:val="Heading1"/>
      </w:pPr>
      <w:r>
        <w:t xml:space="preserve">Доступність даних і коду</w:t>
      </w:r>
    </w:p>
    <w:p>
      <w:pPr>
        <w:pStyle w:val="FirstParagraph"/>
      </w:pPr>
      <w:r>
        <w:t xml:space="preserve">Каталог Tempel et al. (2014) є публічно доступним через VizieR (J/MNRAS/438/3465). Аналітичні скрипти та проміжні продукти даних будуть оприлюднені після публікації.</w:t>
      </w:r>
    </w:p>
    <w:bookmarkEnd w:id="34"/>
    <w:bookmarkStart w:id="35" w:name="посилання"/>
    <w:p>
      <w:pPr>
        <w:pStyle w:val="Heading1"/>
      </w:pPr>
      <w:r>
        <w:t xml:space="preserve">Посилання</w:t>
      </w:r>
    </w:p>
    <w:p>
      <w:pPr>
        <w:numPr>
          <w:ilvl w:val="0"/>
          <w:numId w:val="1003"/>
        </w:numPr>
        <w:pStyle w:val="Compact"/>
      </w:pPr>
      <w:r>
        <w:t xml:space="preserve">Tempel, E. et al. (2014).</w:t>
      </w:r>
      <w:r>
        <w:t xml:space="preserve"> </w:t>
      </w:r>
      <w:r>
        <w:rPr>
          <w:iCs/>
          <w:i/>
        </w:rPr>
        <w:t xml:space="preserve">Mon. Not. R. Astron. Soc.</w:t>
      </w:r>
      <w:r>
        <w:t xml:space="preserve"> </w:t>
      </w:r>
      <w:r>
        <w:t xml:space="preserve">438, 3465.</w:t>
      </w:r>
    </w:p>
    <w:p>
      <w:pPr>
        <w:numPr>
          <w:ilvl w:val="0"/>
          <w:numId w:val="1003"/>
        </w:numPr>
        <w:pStyle w:val="Compact"/>
      </w:pPr>
      <w:r>
        <w:t xml:space="preserve">Hirv, A. et al. (2017).</w:t>
      </w:r>
      <w:r>
        <w:t xml:space="preserve"> </w:t>
      </w:r>
      <w:r>
        <w:rPr>
          <w:iCs/>
          <w:i/>
        </w:rPr>
        <w:t xml:space="preserve">Astron. Astrophys.</w:t>
      </w:r>
      <w:r>
        <w:t xml:space="preserve"> </w:t>
      </w:r>
      <w:r>
        <w:t xml:space="preserve">599, A31.</w:t>
      </w:r>
    </w:p>
    <w:p>
      <w:pPr>
        <w:numPr>
          <w:ilvl w:val="0"/>
          <w:numId w:val="1003"/>
        </w:numPr>
        <w:pStyle w:val="Compact"/>
      </w:pPr>
      <w:r>
        <w:t xml:space="preserve">Ganeshaiah Veena, P. et al. (2019).</w:t>
      </w:r>
      <w:r>
        <w:t xml:space="preserve"> </w:t>
      </w:r>
      <w:r>
        <w:rPr>
          <w:iCs/>
          <w:i/>
        </w:rPr>
        <w:t xml:space="preserve">Mon. Not. R. Astron. Soc.</w:t>
      </w:r>
      <w:r>
        <w:t xml:space="preserve"> </w:t>
      </w:r>
      <w:r>
        <w:t xml:space="preserve">487, 1607.</w:t>
      </w:r>
    </w:p>
    <w:p>
      <w:pPr>
        <w:numPr>
          <w:ilvl w:val="0"/>
          <w:numId w:val="1003"/>
        </w:numPr>
        <w:pStyle w:val="Compact"/>
      </w:pPr>
      <w:r>
        <w:t xml:space="preserve">DESI Collaboration (2025). DESI DR2 BAO. arXiv:2503.14738.</w:t>
      </w:r>
    </w:p>
    <w:p>
      <w:pPr>
        <w:numPr>
          <w:ilvl w:val="0"/>
          <w:numId w:val="1003"/>
        </w:numPr>
        <w:pStyle w:val="Compact"/>
      </w:pPr>
      <w:r>
        <w:t xml:space="preserve">Bond, J. R., Kofman, L. &amp; Pogosyan, D. (1996).</w:t>
      </w:r>
      <w:r>
        <w:t xml:space="preserve"> </w:t>
      </w:r>
      <w:r>
        <w:rPr>
          <w:iCs/>
          <w:i/>
        </w:rPr>
        <w:t xml:space="preserve">Nature</w:t>
      </w:r>
      <w:r>
        <w:t xml:space="preserve"> </w:t>
      </w:r>
      <w:r>
        <w:t xml:space="preserve">380, 603.</w:t>
      </w:r>
    </w:p>
    <w:p>
      <w:pPr>
        <w:numPr>
          <w:ilvl w:val="0"/>
          <w:numId w:val="1003"/>
        </w:numPr>
        <w:pStyle w:val="Compact"/>
      </w:pPr>
      <w:r>
        <w:t xml:space="preserve">Sousbie, T. (2011).</w:t>
      </w:r>
      <w:r>
        <w:t xml:space="preserve"> </w:t>
      </w:r>
      <w:r>
        <w:rPr>
          <w:iCs/>
          <w:i/>
        </w:rPr>
        <w:t xml:space="preserve">Mon. Not. R. Astron. Soc.</w:t>
      </w:r>
      <w:r>
        <w:t xml:space="preserve"> </w:t>
      </w:r>
      <w:r>
        <w:t xml:space="preserve">414, 350.</w:t>
      </w:r>
    </w:p>
    <w:p>
      <w:r>
        <w:pict>
          <v:rect style="width:0;height:1.5pt" o:hralign="center" o:hrstd="t" o:hr="t"/>
        </w:pict>
      </w:r>
    </w:p>
    <w:p>
      <w:pPr>
        <w:pStyle w:val="FirstParagraph"/>
      </w:pPr>
      <w:r>
        <w:rPr>
          <w:iCs/>
          <w:i/>
        </w:rPr>
        <w:t xml:space="preserve">Рукопис підготовлено для подвійного сліпого рецензування. Імена авторів приховані.</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u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Дальня орієнтаційна кореляція космічних філаментів понад масштабом баріонних акустичних осциляцій</dc:title>
  <dc:creator>[Імена авторів приховано для подвійного сліпого рецензування]</dc:creator>
  <dc:language>uk</dc:language>
  <cp:keywords/>
  <dcterms:created xsi:type="dcterms:W3CDTF">2026-04-11T09:05:26Z</dcterms:created>
  <dcterms:modified xsi:type="dcterms:W3CDTF">2026-04-11T09:05:26Z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Квітень 2026</vt:lpwstr>
  </property>
  <property fmtid="{D5CDD505-2E9C-101B-9397-08002B2CF9AE}" pid="3" name="subtitle">
    <vt:lpwstr>Виявлення на 18σ у каталозі філаментів SDSS Tempel et al. 2014</vt:lpwstr>
  </property>
</Properties>
</file>