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(v2.1)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v6.1,</w:t>
      </w:r>
      <w:r>
        <w:t xml:space="preserve"> </w:t>
      </w:r>
      <w:r>
        <w:t xml:space="preserve">з</w:t>
      </w:r>
      <w:r>
        <w:t xml:space="preserve"> </w:t>
      </w:r>
      <w:r>
        <w:t xml:space="preserve">результатами</w:t>
      </w:r>
      <w:r>
        <w:t xml:space="preserve"> </w:t>
      </w:r>
      <w:r>
        <w:t xml:space="preserve">першого</w:t>
      </w:r>
      <w:r>
        <w:t xml:space="preserve"> </w:t>
      </w:r>
      <w:r>
        <w:t xml:space="preserve">раунду</w:t>
      </w:r>
      <w:r>
        <w:t xml:space="preserve"> </w:t>
      </w:r>
      <w:r>
        <w:t xml:space="preserve">тестів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v2.1 включає одинадцять результатів першого раунду тестів в архітектуру v2. Три зміни: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P21 (TGFT-RG IR фіксована точка ν)</w:t>
      </w:r>
      <w:r>
        <w:t xml:space="preserve"> </w:t>
      </w:r>
      <w:r>
        <w:t xml:space="preserve">перекласифіковано з</w:t>
      </w:r>
      <w:r>
        <w:t xml:space="preserve"> </w:t>
      </w:r>
      <w:r>
        <w:t xml:space="preserve">“</w:t>
      </w:r>
      <w:r>
        <w:t xml:space="preserve">передбачено 10⁻³</w:t>
      </w:r>
      <w:r>
        <w:t xml:space="preserve">”</w:t>
      </w:r>
      <w:r>
        <w:t xml:space="preserve"> </w:t>
      </w:r>
      <w:r>
        <w:t xml:space="preserve">на</w:t>
      </w:r>
      <w:r>
        <w:t xml:space="preserve"> </w:t>
      </w:r>
      <w:r>
        <w:t xml:space="preserve">“</w:t>
      </w:r>
      <w:r>
        <w:t xml:space="preserve">емпірично 10⁻³–10⁻², аудит очікується</w:t>
      </w:r>
      <w:r>
        <w:t xml:space="preserve">”</w:t>
      </w:r>
      <w:r>
        <w:t xml:space="preserve">. Дві доступні космологічні підгонки (P01 спрощена, T01 повна) відрізняються щодо ν на порядок величини через істотно різні обробки SN-перетину, джерела BAO коваріації та конструкції апріорі Planck, а не через несумісність даних. Поки аудит конвеєра не зійдеться, v2.1 несе ν як вільний параметр і утримується від твердження про підтвердження P21.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Два прогнози видалено з активного списку як спростовані опублікованими даними.</w:t>
      </w:r>
      <w:r>
        <w:t xml:space="preserve"> </w:t>
      </w:r>
      <w:r>
        <w:t xml:space="preserve">P9a (LHCb димюонний надлишок 1–2 ГеВ) виключено CMS EXO-21-005 та аналізами LHCb. P9c (структура провал-пік η/s QGP) виключено параметризацією JETSCAPE-MAP Parkkila et al. (2021), яка знаходить монотонний неспадний η/s у T = 140–170 МеВ.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Один прогноз підвищено до підтвердженого.</w:t>
      </w:r>
      <w:r>
        <w:t xml:space="preserve"> </w:t>
      </w:r>
      <w:r>
        <w:t xml:space="preserve">P3 (орієнтаційна кореляція філаментів) виявлено при 17.8σ у каталозі Tempel et al. (2014) з характерною довжиною 163 Mpc/h, скромно вище масштабу BAO.</w:t>
      </w:r>
    </w:p>
    <w:p>
      <w:pPr>
        <w:pStyle w:val="FirstParagraph"/>
      </w:pPr>
      <w:r>
        <w:t xml:space="preserve">Архітектуру 12 + 3 + 6 збережено. Шар 0 (каскадне тверде ядро) залишається непротестованим, оскільки відповідної масової досяжності прямого виявлення ще не досягнуто. Лакатосівський захисний пояс чисто поглинає два спростування: P9a і P9c були ЦЕРН-стороніми оздобленнями, а не основними прогнозами, і їхнє видалення не дестабілізує жодного шару.</w:t>
      </w:r>
    </w:p>
    <w:bookmarkEnd w:id="20"/>
    <w:bookmarkStart w:id="21" w:name="оновлений-статус-прогнозів-p21p28"/>
    <w:p>
      <w:pPr>
        <w:pStyle w:val="Heading1"/>
      </w:pPr>
      <w:r>
        <w:t xml:space="preserve">1. Оновлений статус прогнозів P21–P28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 (ν як TGFT-RG IR фіксована точка)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 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очікується; ν виміряно у 10⁻³–10⁻²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 (γ_AS = γ_EPRL стадія за стадією)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 (потребує реалізації Бара–Штайнгауса)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P23 (фазові переходи каскаду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 (DA/O верхня межа N ≤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 з усіма даними; ще не зв’язуюче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(підрахунок піків ТМ →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Недостатня масова досяжність; m₅ &gt; 12 ГеВ лише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 (ЗБ ↔ алгебра фінальної стадії)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P27 (геометричні масові відношення)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 (стадійні μ/y викривлення КМВ)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Передбачено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 з FIRAS, вирішальний тест майбутній</w:t>
            </w:r>
          </w:p>
        </w:tc>
      </w:tr>
    </w:tbl>
    <w:p>
      <w:pPr>
        <w:pStyle w:val="BodyText"/>
      </w:pPr>
      <w:r>
        <w:t xml:space="preserve">Зі успадкованих v5 прогнозів у синтезному ланцюзі:</w:t>
      </w:r>
      <w:r>
        <w:t xml:space="preserve"> </w:t>
      </w:r>
      <w:r>
        <w:rPr>
          <w:bCs/>
          <w:b/>
        </w:rPr>
        <w:t xml:space="preserve">P3 — підтверджено при 17.8σ. P9a — спростовано. P9c — спростовано. P5 — частково підтримано (η/s ≈ 1.4 × KSS, найближче з усіх систем). §6.1 локальне відступлення a₀ — підтверджено</w:t>
      </w:r>
      <w:r>
        <w:t xml:space="preserve"> </w:t>
      </w:r>
      <w:r>
        <w:t xml:space="preserve">(1.16 × 10⁻¹⁰ м с⁻², 3.3% від Мілгрома).</w:t>
      </w:r>
    </w:p>
    <w:bookmarkEnd w:id="21"/>
    <w:bookmarkStart w:id="22" w:name="вплив-на-12-структур"/>
    <w:p>
      <w:pPr>
        <w:pStyle w:val="Heading1"/>
      </w:pPr>
      <w:r>
        <w:t xml:space="preserve">2. Вплив на 12 структур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емпіричне значення ν тепер у діапазоні 10⁻³ до 10⁻², а не v2 номінальне 10⁻³. Кожен елемент ланцюга нижче за течією від RVM (часування каскаду, прогноз конденсату GFT, ефективність баріогенезу) несе цю невизначеність.</w:t>
      </w:r>
    </w:p>
    <w:p>
      <w:pPr>
        <w:pStyle w:val="BodyText"/>
      </w:pPr>
      <w:r>
        <w:rPr>
          <w:bCs/>
          <w:b/>
        </w:rPr>
        <w:t xml:space="preserve">TGFT-RG (1.9)</w:t>
      </w:r>
      <w:r>
        <w:t xml:space="preserve"> </w:t>
      </w:r>
      <w:r>
        <w:t xml:space="preserve">— шар залишається структурно важливим, оскільки каскадно-стадійна інтерпретація його потребує, але прогноз збіжності P22 не може бути оцінений до запуску стадія-за-стадією реалізації Бара–Штайнгауса.</w:t>
      </w:r>
    </w:p>
    <w:p>
      <w:pPr>
        <w:pStyle w:val="BodyText"/>
      </w:pPr>
      <w:r>
        <w:rPr>
          <w:bCs/>
          <w:b/>
        </w:rPr>
        <w:t xml:space="preserve">AQN (1.5), DA/O (1.10), HaPPY (1.11)</w:t>
      </w:r>
      <w:r>
        <w:t xml:space="preserve"> </w:t>
      </w:r>
      <w:r>
        <w:t xml:space="preserve">— пониження v2 не зачеплено першим раундом тестів.</w:t>
      </w:r>
    </w:p>
    <w:p>
      <w:pPr>
        <w:pStyle w:val="BodyText"/>
      </w:pPr>
      <w:r>
        <w:t xml:space="preserve">Інші структури — ролі без змін від v2.</w:t>
      </w:r>
    </w:p>
    <w:bookmarkEnd w:id="22"/>
    <w:bookmarkStart w:id="23" w:name="альтернативні-гілки"/>
    <w:p>
      <w:pPr>
        <w:pStyle w:val="Heading1"/>
      </w:pPr>
      <w:r>
        <w:t xml:space="preserve">3. 3 альтернативні гілки</w:t>
      </w:r>
    </w:p>
    <w:p>
      <w:pPr>
        <w:pStyle w:val="FirstParagraph"/>
      </w:pPr>
      <w:r>
        <w:t xml:space="preserve">Архітектура гілок незмінна. §6.1 локальне підтвердження a₀ затягує гілку EG ↔ CDT+TN: якщо каскадна інтерпретація буде відкинута і EG підвищена до первинної, EG все ще повинна відтворювати значення Мілгрома, що вона і робить — тож гілка залишається життєздатним резервом.</w:t>
      </w:r>
    </w:p>
    <w:bookmarkEnd w:id="23"/>
    <w:bookmarkStart w:id="24" w:name="шляхів-розвязання"/>
    <w:p>
      <w:pPr>
        <w:pStyle w:val="Heading1"/>
      </w:pPr>
      <w:r>
        <w:t xml:space="preserve">4. 6 шляхів розв’язання</w:t>
      </w:r>
    </w:p>
    <w:p>
      <w:pPr>
        <w:pStyle w:val="FirstParagraph"/>
      </w:pPr>
      <w:r>
        <w:t xml:space="preserve">Без структурних змін. Аудит ν (поточний блокувач) не є питанням шляху розв’язання — це питання аудиту коду, з яким шляхи розв’язання допомогти не можуть.</w:t>
      </w:r>
      <w:r>
        <w:t xml:space="preserve"> </w:t>
      </w:r>
      <w:r>
        <w:rPr>
          <w:bCs/>
          <w:b/>
        </w:rPr>
        <w:t xml:space="preserve">Шлях 1 (Свомпленд → часування каскаду)</w:t>
      </w:r>
      <w:r>
        <w:t xml:space="preserve"> </w:t>
      </w:r>
      <w:r>
        <w:t xml:space="preserve">і</w:t>
      </w:r>
      <w:r>
        <w:t xml:space="preserve"> </w:t>
      </w:r>
      <w:r>
        <w:rPr>
          <w:bCs/>
          <w:b/>
        </w:rPr>
        <w:t xml:space="preserve">Шлях 6 (стадія-за-стадією Бар–Штайнгаус)</w:t>
      </w:r>
      <w:r>
        <w:t xml:space="preserve"> </w:t>
      </w:r>
      <w:r>
        <w:t xml:space="preserve">обидва залежать від узгодженого значення ν і тому призупинені до завершення аудиту.</w:t>
      </w:r>
    </w:p>
    <w:bookmarkEnd w:id="24"/>
    <w:bookmarkStart w:id="25" w:name="шарова-спростовність-оновлено"/>
    <w:p>
      <w:pPr>
        <w:pStyle w:val="Heading1"/>
      </w:pPr>
      <w:r>
        <w:t xml:space="preserve">5. Шарова спростовність — оновлено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каскадне ядро)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Непротестовано</w:t>
            </w:r>
            <w:r>
              <w:t xml:space="preserve"> </w:t>
            </w:r>
            <w:r>
              <w:t xml:space="preserve">(недостатня масова досяжність ТМ)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Аудит очікується</w:t>
            </w:r>
            <w:r>
              <w:t xml:space="preserve"> </w:t>
            </w:r>
            <w:r>
              <w:t xml:space="preserve">(розбіжність 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 з даними першого раунду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Частково підтверджено</w:t>
            </w:r>
            <w:r>
              <w:t xml:space="preserve"> </w:t>
            </w:r>
            <w:r>
              <w:t xml:space="preserve">(P3 при 17.8σ; локальне a₀)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(баріогенез)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Жоден шар не спростовано першим раундом.</w:t>
      </w:r>
      <w:r>
        <w:t xml:space="preserve"> </w:t>
      </w:r>
      <w:r>
        <w:t xml:space="preserve">Два спростовані прогнози (P9a, P9c) були ЦЕРН-сторонніми феноменологічними розширеннями, а не частиною шарового твердого ядра; їхнє видалення не має наслідків для архітектури шарів.</w:t>
      </w:r>
    </w:p>
    <w:bookmarkEnd w:id="25"/>
    <w:bookmarkStart w:id="26" w:name="відкриті-проблеми-після-раунду-1"/>
    <w:p>
      <w:pPr>
        <w:pStyle w:val="Heading1"/>
      </w:pPr>
      <w:r>
        <w:t xml:space="preserve">6. Відкриті проблеми після Раунду 1</w:t>
      </w:r>
    </w:p>
    <w:p>
      <w:pPr>
        <w:pStyle w:val="FirstParagraph"/>
      </w:pPr>
      <w:r>
        <w:rPr>
          <w:bCs/>
          <w:b/>
        </w:rPr>
        <w:t xml:space="preserve">6.1 Аудит конвеєра ν.</w:t>
      </w:r>
      <w:r>
        <w:t xml:space="preserve"> </w:t>
      </w:r>
      <w:r>
        <w:t xml:space="preserve">Дві скрипти повертають істотно різні значення з номінально тих самих даних. Аудит ідентифікує відмінності (обробка перетину SN, джерело BAO коваріації, конструкція апріорі Planck), але не каже, яка конструкція є правильною.</w:t>
      </w:r>
      <w:r>
        <w:t xml:space="preserve"> </w:t>
      </w:r>
      <w:r>
        <w:rPr>
          <w:bCs/>
          <w:b/>
        </w:rPr>
        <w:t xml:space="preserve">Розв’язання цього є першим невідкладним завданням для раунду 2.</w:t>
      </w:r>
    </w:p>
    <w:p>
      <w:pPr>
        <w:pStyle w:val="BodyText"/>
      </w:pPr>
      <w:r>
        <w:rPr>
          <w:bCs/>
          <w:b/>
        </w:rPr>
        <w:t xml:space="preserve">6.2 Детренд Тесту 02.</w:t>
      </w:r>
      <w:r>
        <w:t xml:space="preserve"> </w:t>
      </w:r>
      <w:r>
        <w:t xml:space="preserve">Багатогармонічний сигнал w(z) наразі вироджений з нестаціонарним трендом у сплайн-підгонці. Перепідгонка з осциляційно-тільки базисом потрібна перед тим, як P7-розширений може бути підвищений до підтвердженого.</w:t>
      </w:r>
    </w:p>
    <w:p>
      <w:pPr>
        <w:pStyle w:val="BodyText"/>
      </w:pPr>
      <w:r>
        <w:rPr>
          <w:bCs/>
          <w:b/>
        </w:rPr>
        <w:t xml:space="preserve">6.3 Масова досяжність прямого виявлення.</w:t>
      </w:r>
      <w:r>
        <w:t xml:space="preserve"> </w:t>
      </w:r>
      <w:r>
        <w:t xml:space="preserve">Поточні дані XENONnT/LZ/PandaX-4T виключають другий пік лише нижче 12 ГеВ, набагато нижче передбачуваного масштабу ~ТеВ. v2 тверде ядро (P25/P27) не може бути протестоване без вищої масової досяжності.</w:t>
      </w:r>
    </w:p>
    <w:bookmarkEnd w:id="26"/>
    <w:bookmarkStart w:id="27" w:name="висновок"/>
    <w:p>
      <w:pPr>
        <w:pStyle w:val="Heading1"/>
      </w:pPr>
      <w:r>
        <w:t xml:space="preserve">7. Висновок</w:t>
      </w:r>
    </w:p>
    <w:p>
      <w:pPr>
        <w:pStyle w:val="FirstParagraph"/>
      </w:pPr>
      <w:r>
        <w:t xml:space="preserve">Кампанія тестів першого раунду доставила три підтвердження або сильні підтримки (вирівнювання філаментів при 17.8σ, локальне a₀ на Мілгромі, багатогармонічне w(z) з аудитом), два чисті спростування ЦЕРН-сторонніх оздоблень (P9a, P9c) і одну невідкладну невирішену розбіжність щодо центрального числового параметра ν. Жоден шар архітектури 12 + 3 + 6 не дестабілізовано. Тверде ядро (каскадний підрахунок піків ТМ) залишається непротестованим з причин чутливості, а не структурних. Синтез у кращій емпіричній формі, ніж номінально стверджував v2 — три виміряні сигнали — і в гіршій риторичній формі, оскільки заголовкове ν = 10⁻³ більше не захищається як точний прогноз.</w:t>
      </w:r>
    </w:p>
    <w:p>
      <w:pPr>
        <w:pStyle w:val="BodyText"/>
      </w:pPr>
      <w:r>
        <w:t xml:space="preserve">Раунд 2 повинен: (1) закрити аудит ν; (2) перезапустити Тест 02 з детрендом; (3) розширити Тест 11 до незалежного каталогу філаментів (DisPerSE на SDSS DR16); (4) чекати на наступний реліз прямого виявлення.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(v2.1)</dc:title>
  <dc:creator>[Імена авторів приховано]</dc:creator>
  <dc:language>uk</dc:language>
  <cp:keywords/>
  <dcterms:created xsi:type="dcterms:W3CDTF">2026-04-11T09:15:32Z</dcterms:created>
  <dcterms:modified xsi:type="dcterms:W3CDTF">2026-04-11T09:15:32Z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12 + 3 + 6, узгоджено з CCDR v6.1, з результатами першого раунду тестів</vt:lpwstr>
  </property>
</Properties>
</file>