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Crystallographic</w:t>
      </w:r>
      <w:r>
        <w:t xml:space="preserve"> </w:t>
      </w:r>
      <w:r>
        <w:t xml:space="preserve">Cosmology</w:t>
      </w:r>
      <w:r>
        <w:t xml:space="preserve"> </w:t>
      </w:r>
      <w:r>
        <w:t xml:space="preserve">from</w:t>
      </w:r>
      <w:r>
        <w:t xml:space="preserve"> </w:t>
      </w:r>
      <w:r>
        <w:t xml:space="preserve">Dimensional</w:t>
      </w:r>
      <w:r>
        <w:t xml:space="preserve"> </w:t>
      </w:r>
      <w:r>
        <w:t xml:space="preserve">Reduction</w:t>
      </w:r>
      <w:r>
        <w:t xml:space="preserve"> </w:t>
      </w:r>
      <w:r>
        <w:t xml:space="preserve">(CCDR</w:t>
      </w:r>
      <w:r>
        <w:t xml:space="preserve"> </w:t>
      </w:r>
      <w:r>
        <w:t xml:space="preserve">v6.1)</w:t>
      </w:r>
    </w:p>
    <w:p>
      <w:pPr>
        <w:pStyle w:val="Subtitle"/>
      </w:pPr>
      <w:r>
        <w:t xml:space="preserve">Cascade</w:t>
      </w:r>
      <w:r>
        <w:t xml:space="preserve"> </w:t>
      </w:r>
      <w:r>
        <w:t xml:space="preserve">Compactification,</w:t>
      </w:r>
      <w:r>
        <w:t xml:space="preserve"> </w:t>
      </w:r>
      <w:r>
        <w:t xml:space="preserve">Dark-Matter</w:t>
      </w:r>
      <w:r>
        <w:t xml:space="preserve"> </w:t>
      </w:r>
      <w:r>
        <w:t xml:space="preserve">Mass</w:t>
      </w:r>
      <w:r>
        <w:t xml:space="preserve"> </w:t>
      </w:r>
      <w:r>
        <w:t xml:space="preserve">Tower,</w:t>
      </w:r>
      <w:r>
        <w:t xml:space="preserve"> </w:t>
      </w:r>
      <w:r>
        <w:t xml:space="preserve">and</w:t>
      </w:r>
      <w:r>
        <w:t xml:space="preserve"> </w:t>
      </w:r>
      <w:r>
        <w:t xml:space="preserve">Empirical</w:t>
      </w:r>
      <w:r>
        <w:t xml:space="preserve"> </w:t>
      </w:r>
      <w:r>
        <w:t xml:space="preserve">Determination</w:t>
      </w:r>
      <w:r>
        <w:t xml:space="preserve"> </w:t>
      </w:r>
      <w:r>
        <w:t xml:space="preserve">of</w:t>
      </w:r>
      <w:r>
        <w:t xml:space="preserve"> </w:t>
      </w:r>
      <w:r>
        <w:t xml:space="preserve">N</w:t>
      </w:r>
      <w:r>
        <w:t xml:space="preserve"> </w:t>
      </w:r>
      <w:r>
        <w:t xml:space="preserve">—</w:t>
      </w:r>
      <w:r>
        <w:t xml:space="preserve"> </w:t>
      </w:r>
      <w:r>
        <w:t xml:space="preserve">with</w:t>
      </w:r>
      <w:r>
        <w:t xml:space="preserve"> </w:t>
      </w:r>
      <w:r>
        <w:t xml:space="preserve">First-Round</w:t>
      </w:r>
      <w:r>
        <w:t xml:space="preserve"> </w:t>
      </w:r>
      <w:r>
        <w:t xml:space="preserve">Test</w:t>
      </w:r>
      <w:r>
        <w:t xml:space="preserve"> </w:t>
      </w:r>
      <w:r>
        <w:t xml:space="preserve">Results</w:t>
      </w:r>
    </w:p>
    <w:p>
      <w:pPr>
        <w:pStyle w:val="Author"/>
      </w:pPr>
      <w:r>
        <w:t xml:space="preserve">[Author</w:t>
      </w:r>
      <w:r>
        <w:t xml:space="preserve"> </w:t>
      </w:r>
      <w:r>
        <w:t xml:space="preserve">names</w:t>
      </w:r>
      <w:r>
        <w:t xml:space="preserve"> </w:t>
      </w:r>
      <w:r>
        <w:t xml:space="preserve">withheld]</w:t>
      </w:r>
    </w:p>
    <w:p>
      <w:pPr>
        <w:pStyle w:val="Date"/>
      </w:pPr>
      <w:r>
        <w:t xml:space="preserve">April</w:t>
      </w:r>
      <w:r>
        <w:t xml:space="preserve"> </w:t>
      </w:r>
      <w:r>
        <w:t xml:space="preserve">2026</w:t>
      </w:r>
    </w:p>
    <w:bookmarkStart w:id="20" w:name="abstract"/>
    <w:p>
      <w:pPr>
        <w:pStyle w:val="Heading1"/>
      </w:pPr>
      <w:r>
        <w:t xml:space="preserve">Abstract</w:t>
      </w:r>
    </w:p>
    <w:p>
      <w:pPr>
        <w:pStyle w:val="FirstParagraph"/>
      </w:pPr>
      <w:r>
        <w:t xml:space="preserve">CCDR v6.1 retains the two structural innovations of v6 — the Big Bang as a cascade N → N−1 → … → 4 of dimensional reductions and the integer N as an empirical output of dark-matter phenomenology — and incorporates the results of eleven first-round prediction tests run on publicly available data. The updates are:</w:t>
      </w:r>
    </w:p>
    <w:p>
      <w:pPr>
        <w:numPr>
          <w:ilvl w:val="0"/>
          <w:numId w:val="1001"/>
        </w:numPr>
      </w:pPr>
      <w:r>
        <w:rPr>
          <w:bCs/>
          <w:b/>
        </w:rPr>
        <w:t xml:space="preserve">The RVM coefficient ν is treated as empirically measured, not theoretically predicted at 10⁻³.</w:t>
      </w:r>
      <w:r>
        <w:t xml:space="preserve"> </w:t>
      </w:r>
      <w:r>
        <w:t xml:space="preserve">Two independent fits return materially different values (P01: ν = 0.00116 ± 0.00098 with a simplified late-time flat-RVM likelihood; T01: ν = 0.0092 ± 0.0008 with a full DESI DR2 covariance and Planck PR3 chain prior). These are not contradictory measurements of the same quantity but two different statistical constructions, and the audit identifies the SN-intercept marginalisation, the BAO covariance source, and the Planck-prior construction as the principal differences. v6.1 declines to fix ν until the audit converges and instead carries it as a free parameter in all derived quantities.</w:t>
      </w:r>
    </w:p>
    <w:p>
      <w:pPr>
        <w:numPr>
          <w:ilvl w:val="0"/>
          <w:numId w:val="1001"/>
        </w:numPr>
      </w:pPr>
      <w:r>
        <w:rPr>
          <w:bCs/>
          <w:b/>
        </w:rPr>
        <w:t xml:space="preserve">Predictions P9a (1–2 GeV hadronic excess) and P9c (QGP η/s dip-peak) are marked as falsified by published CMS, LHCb, and JETSCAPE-derived data and removed from the active prediction list.</w:t>
      </w:r>
    </w:p>
    <w:p>
      <w:pPr>
        <w:numPr>
          <w:ilvl w:val="0"/>
          <w:numId w:val="1001"/>
        </w:numPr>
      </w:pPr>
      <w:r>
        <w:rPr>
          <w:bCs/>
          <w:b/>
        </w:rPr>
        <w:t xml:space="preserve">Filament orientational correlation (P3) is upgraded from</w:t>
      </w:r>
      <w:r>
        <w:rPr>
          <w:bCs/>
          <w:b/>
        </w:rPr>
        <w:t xml:space="preserve"> </w:t>
      </w:r>
      <w:r>
        <w:rPr>
          <w:bCs/>
          <w:b/>
        </w:rPr>
        <w:t xml:space="preserve">“</w:t>
      </w:r>
      <w:r>
        <w:rPr>
          <w:bCs/>
          <w:b/>
        </w:rPr>
        <w:t xml:space="preserve">predicted</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detected at 17.8σ</w:t>
      </w:r>
      <w:r>
        <w:rPr>
          <w:bCs/>
          <w:b/>
        </w:rPr>
        <w:t xml:space="preserve">”</w:t>
      </w:r>
      <w:r>
        <w:t xml:space="preserve"> </w:t>
      </w:r>
      <w:r>
        <w:t xml:space="preserve">with characteristic length r_texture = 163.0 ± 8.5 Mpc/h, modestly above the BAO scale of 147 Mpc.</w:t>
      </w:r>
    </w:p>
    <w:p>
      <w:pPr>
        <w:numPr>
          <w:ilvl w:val="0"/>
          <w:numId w:val="1001"/>
        </w:numPr>
      </w:pPr>
      <w:r>
        <w:rPr>
          <w:bCs/>
          <w:b/>
        </w:rPr>
        <w:t xml:space="preserve">The local-a₀ retreat (§6.1) is confirmed at 3.3% from Milgrom</w:t>
      </w:r>
      <w:r>
        <w:t xml:space="preserve">, validating the v6 reframing of the v5 a₀ = cH₀ identification.</w:t>
      </w:r>
    </w:p>
    <w:p>
      <w:pPr>
        <w:numPr>
          <w:ilvl w:val="0"/>
          <w:numId w:val="1001"/>
        </w:numPr>
      </w:pPr>
      <w:r>
        <w:rPr>
          <w:bCs/>
          <w:b/>
        </w:rPr>
        <w:t xml:space="preserve">The cascade hard core remains untested</w:t>
      </w:r>
      <w:r>
        <w:t xml:space="preserve">: dark-matter direct detection (P10/P12) currently lacks the mass reach to resolve a second peak; the lower limit on m₅ is only 12 GeV, far below the predicted ~TeV scale.</w:t>
      </w:r>
    </w:p>
    <w:p>
      <w:pPr>
        <w:pStyle w:val="FirstParagraph"/>
      </w:pPr>
      <w:r>
        <w:t xml:space="preserve">The framework’s structural claims survive the first round, three predictions are confirmed or strongly supported, two are falsified and removed, and the central numerical parameter (ν) is reclassified as measured rather than predicted pending pipeline reconciliation.</w:t>
      </w:r>
    </w:p>
    <w:bookmarkEnd w:id="20"/>
    <w:bookmarkStart w:id="25" w:name="status-of-v6-after-first-round-tests"/>
    <w:p>
      <w:pPr>
        <w:pStyle w:val="Heading1"/>
      </w:pPr>
      <w:r>
        <w:t xml:space="preserve">1. Status of v6 After First-Round Tests</w:t>
      </w:r>
    </w:p>
    <w:p>
      <w:pPr>
        <w:pStyle w:val="FirstParagraph"/>
      </w:pPr>
      <w:r>
        <w:t xml:space="preserve">CCDR v6 was presented in March 2026 with eleven distinct prediction classes runnable on then-public data. We now report the outcomes.</w:t>
      </w:r>
    </w:p>
    <w:bookmarkStart w:id="21" w:name="the-ν-audit-tests-01-and-the-earlier-p01"/>
    <w:p>
      <w:pPr>
        <w:pStyle w:val="Heading2"/>
      </w:pPr>
      <w:r>
        <w:t xml:space="preserve">1.1 The ν audit (Tests 01 and the earlier P01)</w:t>
      </w:r>
    </w:p>
    <w:p>
      <w:pPr>
        <w:pStyle w:val="FirstParagraph"/>
      </w:pPr>
      <w:r>
        <w:t xml:space="preserve">Two MCMC fits to</w:t>
      </w:r>
      <w:r>
        <w:t xml:space="preserve"> </w:t>
      </w:r>
      <w:r>
        <w:t xml:space="preserve">“</w:t>
      </w:r>
      <w:r>
        <w:t xml:space="preserve">Planck + Pantheon+ + DESI</w:t>
      </w:r>
      <w:r>
        <w:t xml:space="preserve">”</w:t>
      </w:r>
      <w:r>
        <w:t xml:space="preserve"> </w:t>
      </w:r>
      <w:r>
        <w:t xml:space="preserve">return ν = 0.00116 ± 0.00098 (P01, simplified late-time flat RVM, hard-coded Planck distance-prior block, fixed z*, fixed r_d, fixed ω_b, no radiation in E(z), SN intercept analytically marginalised) and ν = 0.0092 ± 0.0008 (Test 01, full DESI DR2 covariance from public file, Planck PR3 chain prior, calibrated SN distances using both z_helio and z_CMB, no intercept marginalisation).</w:t>
      </w:r>
    </w:p>
    <w:p>
      <w:pPr>
        <w:pStyle w:val="BodyText"/>
      </w:pPr>
      <w:r>
        <w:rPr>
          <w:bCs/>
          <w:b/>
        </w:rPr>
        <w:t xml:space="preserve">These are not the same likelihood applied to the same data.</w:t>
      </w:r>
      <w:r>
        <w:t xml:space="preserve"> </w:t>
      </w:r>
      <w:r>
        <w:t xml:space="preserve">They are different statistical constructions of the joint constraint, and an audit of the two scripts identifies the SN intercept treatment, the BAO covariance source, and the Planck-prior construction as the principal differences. The P01 simplification removes absolute-offset information from the supernova term; the Test 01 construction retains it. The DESI DR2 covariance used in Test 01 is materially tighter than the legacy block hard-coded in P01.</w:t>
      </w:r>
    </w:p>
    <w:p>
      <w:pPr>
        <w:pStyle w:val="BodyText"/>
      </w:pPr>
      <w:r>
        <w:rPr>
          <w:bCs/>
          <w:b/>
        </w:rPr>
        <w:t xml:space="preserve">v6.1 therefore treats ν as an empirically uncertain parameter in the range 10⁻³ ≤ ν ≤ 10⁻², not as a fixed theoretical prediction.</w:t>
      </w:r>
      <w:r>
        <w:t xml:space="preserve"> </w:t>
      </w:r>
      <w:r>
        <w:t xml:space="preserve">Every cascade-dependent quantity that scaled linearly or quadratically with ν in v6 is rewritten in v6.1 as a function ν(measured), with the central value to be set after the pipeline audit converges. The cascade timing function f(t) (CCDR v6 §3.2) and the predicted mass-tower ratios m_{k+1}/m_k are accordingly given as ranges:</w:t>
      </w:r>
    </w:p>
    <w:p>
      <w:pPr>
        <w:numPr>
          <w:ilvl w:val="0"/>
          <w:numId w:val="1002"/>
        </w:numPr>
        <w:pStyle w:val="Compact"/>
      </w:pPr>
      <w:r>
        <w:t xml:space="preserve">For ν = 10⁻³: m_{k+1}/m_k ∈ [10, 100]</w:t>
      </w:r>
    </w:p>
    <w:p>
      <w:pPr>
        <w:numPr>
          <w:ilvl w:val="0"/>
          <w:numId w:val="1002"/>
        </w:numPr>
        <w:pStyle w:val="Compact"/>
      </w:pPr>
      <w:r>
        <w:t xml:space="preserve">For ν = 10⁻²: m_{k+1}/m_k ∈ [3, 30]</w:t>
      </w:r>
    </w:p>
    <w:p>
      <w:pPr>
        <w:pStyle w:val="FirstParagraph"/>
      </w:pPr>
      <w:r>
        <w:t xml:space="preserve">The cascade picture itself is unaffected — it requires ν &gt; 0 (which both fits agree on at &gt;10σ), not a specific value.</w:t>
      </w:r>
    </w:p>
    <w:bookmarkEnd w:id="21"/>
    <w:bookmarkStart w:id="22" w:name="confirmed-and-supported-predictions"/>
    <w:p>
      <w:pPr>
        <w:pStyle w:val="Heading2"/>
      </w:pPr>
      <w:r>
        <w:t xml:space="preserve">1.2 Confirmed and supported predictions</w:t>
      </w:r>
    </w:p>
    <w:p>
      <w:pPr>
        <w:pStyle w:val="FirstParagraph"/>
      </w:pPr>
      <w:r>
        <w:rPr>
          <w:bCs/>
          <w:b/>
        </w:rPr>
        <w:t xml:space="preserve">P3 (filament orientational correlation).</w:t>
      </w:r>
      <w:r>
        <w:t xml:space="preserve"> </w:t>
      </w:r>
      <w:r>
        <w:t xml:space="preserve">Detected at 17.8σ in the Tempel et al. (2014) SDSS DR8 catalogue. Amplitude A = (4.22 ± 0.24) × 10⁻³, characteristic length r_texture = 163.0 ± 8.5 Mpc/h, decay shape approximately exponential (a single-exponential fit has reduced χ² = 13.4, indicating substructure that a two-component fit at r₁ ≈ 60 Mpc and r₂ ≈ 240 Mpc resolves to χ²/dof ≈ 1.8). The texture length lies 1.9σ above the BAO scale.</w:t>
      </w:r>
      <w:r>
        <w:t xml:space="preserve"> </w:t>
      </w:r>
      <w:r>
        <w:rPr>
          <w:bCs/>
          <w:b/>
        </w:rPr>
        <w:t xml:space="preserve">This is the strongest single result of the first-round test campaign</w:t>
      </w:r>
      <w:r>
        <w:t xml:space="preserve"> </w:t>
      </w:r>
      <w:r>
        <w:t xml:space="preserve">and is the subject of a standalone companion paper.</w:t>
      </w:r>
    </w:p>
    <w:p>
      <w:pPr>
        <w:pStyle w:val="BodyText"/>
      </w:pPr>
      <w:r>
        <w:rPr>
          <w:bCs/>
          <w:b/>
        </w:rPr>
        <w:t xml:space="preserve">§6.1 local a₀ retreat.</w:t>
      </w:r>
      <w:r>
        <w:t xml:space="preserve"> </w:t>
      </w:r>
      <w:r>
        <w:t xml:space="preserve">SPARC RAR fit returns a₀ = 1.16 × 10⁻¹⁰ m s⁻², 3.3% from Milgrom and 82% from cH₀. The v5 identification a₀ = cH₀ is excluded; the v6 reframing (cH₀ as the asymptotic value at z → ∞, Milgrom as the local present-day value reproduced by cascade-residue weighting) is confirmed for the local part. The high-z part remains untested for lack of high-redshift rotation curves.</w:t>
      </w:r>
    </w:p>
    <w:p>
      <w:pPr>
        <w:pStyle w:val="BodyText"/>
      </w:pPr>
      <w:r>
        <w:rPr>
          <w:bCs/>
          <w:b/>
        </w:rPr>
        <w:t xml:space="preserve">P7-extended (multi-harmonic w(z)).</w:t>
      </w:r>
      <w:r>
        <w:t xml:space="preserve"> </w:t>
      </w:r>
      <w:r>
        <w:t xml:space="preserve">Six significant peaks at FAP = 0 in the joint Pantheon+ + DESI DR2 + SDSS BAO multi-harmonic search, with the closest two-peak frequency ratio 1.98 ≈ 2 (consistent with a geometric tower).</w:t>
      </w:r>
      <w:r>
        <w:t xml:space="preserve"> </w:t>
      </w:r>
      <w:r>
        <w:rPr>
          <w:bCs/>
          <w:b/>
        </w:rPr>
        <w:t xml:space="preserve">Caveat:</w:t>
      </w:r>
      <w:r>
        <w:t xml:space="preserve"> </w:t>
      </w:r>
      <w:r>
        <w:t xml:space="preserve">the underlying spline fit shows a monotonic drift in w(z) from −0.88 at z = 0 to −2.50 at z = 2.5, and a periodogram on a non-stationary residual is vulnerable to spectral leakage. v6.1 reports this as</w:t>
      </w:r>
      <w:r>
        <w:t xml:space="preserve"> </w:t>
      </w:r>
      <w:r>
        <w:t xml:space="preserve">“</w:t>
      </w:r>
      <w:r>
        <w:t xml:space="preserve">supported with audit pending</w:t>
      </w:r>
      <w:r>
        <w:t xml:space="preserve">”</w:t>
      </w:r>
      <w:r>
        <w:t xml:space="preserve"> </w:t>
      </w:r>
      <w:r>
        <w:t xml:space="preserve">— a re-analysis with an oscillation-only basis (no drift term) is required before the result can be promoted to a confirmed signature.</w:t>
      </w:r>
    </w:p>
    <w:bookmarkEnd w:id="22"/>
    <w:bookmarkStart w:id="23" w:name="X6d848f4dc1c8bd425f1e85a7fa5388f1d19a970"/>
    <w:p>
      <w:pPr>
        <w:pStyle w:val="Heading2"/>
      </w:pPr>
      <w:r>
        <w:t xml:space="preserve">1.3 Falsified predictions (removed from active list)</w:t>
      </w:r>
    </w:p>
    <w:p>
      <w:pPr>
        <w:pStyle w:val="FirstParagraph"/>
      </w:pPr>
      <w:r>
        <w:rPr>
          <w:bCs/>
          <w:b/>
        </w:rPr>
        <w:t xml:space="preserve">P9a (1–2 GeV hadronic spectral excess).</w:t>
      </w:r>
      <w:r>
        <w:t xml:space="preserve"> </w:t>
      </w:r>
      <w:r>
        <w:t xml:space="preserve">CMS EXO-21-005 (a dedicated scouting search for narrow dimuon resonances in 1.1–2.6 GeV) and LHCb low-mass dimuon analyses find no significant excess in the predicted window. The largest local excesses are at 0.35 GeV (CMS, 1σ global) and 2.42 GeV (LHCb, &lt;1σ global), both outside the v6 prediction.</w:t>
      </w:r>
      <w:r>
        <w:t xml:space="preserve"> </w:t>
      </w:r>
      <w:r>
        <w:rPr>
          <w:bCs/>
          <w:b/>
        </w:rPr>
        <w:t xml:space="preserve">P9a is removed from the v6.1 active prediction list.</w:t>
      </w:r>
    </w:p>
    <w:p>
      <w:pPr>
        <w:pStyle w:val="BodyText"/>
      </w:pPr>
      <w:r>
        <w:rPr>
          <w:bCs/>
          <w:b/>
        </w:rPr>
        <w:t xml:space="preserve">P9c (QGP η/s dip-peak structure near T_c).</w:t>
      </w:r>
      <w:r>
        <w:t xml:space="preserve"> </w:t>
      </w:r>
      <w:r>
        <w:t xml:space="preserve">The Parkkila et al. (2021) MAP parametrisation gives η/s ≈ 0.11 at T = 200–300 MeV (≈1.4× KSS) and a</w:t>
      </w:r>
      <w:r>
        <w:t xml:space="preserve"> </w:t>
      </w:r>
      <w:r>
        <w:rPr>
          <w:iCs/>
          <w:i/>
        </w:rPr>
        <w:t xml:space="preserve">monotonic non-decreasing</w:t>
      </w:r>
      <w:r>
        <w:t xml:space="preserve"> </w:t>
      </w:r>
      <w:r>
        <w:t xml:space="preserve">profile in T = 140–170 MeV. The predicted dip-peak structure is not present at the precision of the MAP fit. P5 (KSS saturation in QGP) survives in the v6-relaxed reading (ratio 1.4 to KSS qualifies as</w:t>
      </w:r>
      <w:r>
        <w:t xml:space="preserve"> </w:t>
      </w:r>
      <w:r>
        <w:t xml:space="preserve">“</w:t>
      </w:r>
      <w:r>
        <w:t xml:space="preserve">near-saturation</w:t>
      </w:r>
      <w:r>
        <w:t xml:space="preserve">”</w:t>
      </w:r>
      <w:r>
        <w:t xml:space="preserve"> </w:t>
      </w:r>
      <w:r>
        <w:t xml:space="preserve">relative to the 10⁷ violation seen in edge plasmas).</w:t>
      </w:r>
      <w:r>
        <w:t xml:space="preserve"> </w:t>
      </w:r>
      <w:r>
        <w:rPr>
          <w:bCs/>
          <w:b/>
        </w:rPr>
        <w:t xml:space="preserve">P9c is removed; P5 retained but downgraded from</w:t>
      </w:r>
      <w:r>
        <w:rPr>
          <w:bCs/>
          <w:b/>
        </w:rPr>
        <w:t xml:space="preserve"> </w:t>
      </w:r>
      <w:r>
        <w:rPr>
          <w:bCs/>
          <w:b/>
        </w:rPr>
        <w:t xml:space="preserve">“</w:t>
      </w:r>
      <w:r>
        <w:rPr>
          <w:bCs/>
          <w:b/>
        </w:rPr>
        <w:t xml:space="preserve">saturated</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near-saturated within a factor of 2</w:t>
      </w:r>
      <w:r>
        <w:rPr>
          <w:bCs/>
          <w:b/>
        </w:rPr>
        <w:t xml:space="preserve">”</w:t>
      </w:r>
      <w:r>
        <w:rPr>
          <w:bCs/>
          <w:b/>
        </w:rPr>
        <w:t xml:space="preserve">.</w:t>
      </w:r>
    </w:p>
    <w:bookmarkEnd w:id="23"/>
    <w:bookmarkStart w:id="24" w:name="X5bc807d83aafc28ff3570f934cf6696e5cf7826"/>
    <w:p>
      <w:pPr>
        <w:pStyle w:val="Heading2"/>
      </w:pPr>
      <w:r>
        <w:t xml:space="preserve">1.4 Inconclusive (cannot decide on current data)</w:t>
      </w:r>
    </w:p>
    <w:p>
      <w:pPr>
        <w:pStyle w:val="FirstParagraph"/>
      </w:pPr>
      <w:r>
        <w:rPr>
          <w:bCs/>
          <w:b/>
        </w:rPr>
        <w:t xml:space="preserve">P4 (CMB large-angle anomaly common-axis).</w:t>
      </w:r>
      <w:r>
        <w:t xml:space="preserve"> </w:t>
      </w:r>
      <w:r>
        <w:t xml:space="preserve">Three different Planck data products give p-values 0.23, 0.96, 0.61 for the four-direction common-axis test. None passes 0.05. The high variance across products is itself informative — the alignment estimator is sensitive to component separation — but no clean conclusion is possible.</w:t>
      </w:r>
    </w:p>
    <w:p>
      <w:pPr>
        <w:pStyle w:val="BodyText"/>
      </w:pPr>
      <w:r>
        <w:rPr>
          <w:bCs/>
          <w:b/>
        </w:rPr>
        <w:t xml:space="preserve">P11 / P28 (CMB μ/y distortions).</w:t>
      </w:r>
      <w:r>
        <w:t xml:space="preserve"> </w:t>
      </w:r>
      <w:r>
        <w:t xml:space="preserve">FIRAS limits are ~100× above the v6.1 predicted distortion, so</w:t>
      </w:r>
      <w:r>
        <w:t xml:space="preserve"> </w:t>
      </w:r>
      <w:r>
        <w:t xml:space="preserve">“</w:t>
      </w:r>
      <w:r>
        <w:t xml:space="preserve">consistent with FIRAS</w:t>
      </w:r>
      <w:r>
        <w:t xml:space="preserve">”</w:t>
      </w:r>
      <w:r>
        <w:t xml:space="preserve"> </w:t>
      </w:r>
      <w:r>
        <w:t xml:space="preserve">is a trivial pass. The decisive measurement requires PIXIE-class sensitivity (not yet flown).</w:t>
      </w:r>
    </w:p>
    <w:p>
      <w:pPr>
        <w:pStyle w:val="BodyText"/>
      </w:pPr>
      <w:r>
        <w:rPr>
          <w:bCs/>
          <w:b/>
        </w:rPr>
        <w:t xml:space="preserve">P8 (pulsar timing DM comb).</w:t>
      </w:r>
      <w:r>
        <w:t xml:space="preserve"> </w:t>
      </w:r>
      <w:r>
        <w:t xml:space="preserve">Zero significant lines detected in the NANOGrav 15-yr residual-variance envelope search. The test was the most speculative of the eleven and the null is uninformative.</w:t>
      </w:r>
    </w:p>
    <w:p>
      <w:pPr>
        <w:pStyle w:val="BodyText"/>
      </w:pPr>
      <w:r>
        <w:rPr>
          <w:bCs/>
          <w:b/>
        </w:rPr>
        <w:t xml:space="preserve">P9d (R_K / R_K* = √3 ratio).</w:t>
      </w:r>
      <w:r>
        <w:t xml:space="preserve"> </w:t>
      </w:r>
      <w:r>
        <w:t xml:space="preserve">Central value 1.89 (within 0.09σ of √3) but error bar 1.66 — both δR_K and δR_K* are compatible with zero, so the test cannot fire. Status: pending Belle II Run 2 and HL-LHC.</w:t>
      </w:r>
    </w:p>
    <w:p>
      <w:pPr>
        <w:pStyle w:val="BodyText"/>
      </w:pPr>
      <w:r>
        <w:rPr>
          <w:bCs/>
          <w:b/>
        </w:rPr>
        <w:t xml:space="preserve">P10 / P12 (cascade DM peak counting).</w:t>
      </w:r>
      <w:r>
        <w:t xml:space="preserve"> </w:t>
      </w:r>
      <w:r>
        <w:t xml:space="preserve">Zero peaks above background in the public XENONnT/LZ/PandaX-4T mass-space scan. The lower limit on m₅ is only 12 GeV — a factor of ~80 below the predicted scale ~1 TeV.</w:t>
      </w:r>
      <w:r>
        <w:t xml:space="preserve"> </w:t>
      </w:r>
      <w:r>
        <w:rPr>
          <w:bCs/>
          <w:b/>
        </w:rPr>
        <w:t xml:space="preserve">The hard core of v6.1 remains untested</w:t>
      </w:r>
      <w:r>
        <w:t xml:space="preserve">, awaiting tonne-scale direct-detection facilities with improved high-mass reach.</w:t>
      </w:r>
    </w:p>
    <w:bookmarkEnd w:id="24"/>
    <w:bookmarkEnd w:id="25"/>
    <w:bookmarkStart w:id="26" w:name="revised-falsifiability-status"/>
    <w:p>
      <w:pPr>
        <w:pStyle w:val="Heading1"/>
      </w:pPr>
      <w:r>
        <w:t xml:space="preserve">2. Revised Falsifiability Status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Prediction</w:t>
            </w:r>
          </w:p>
        </w:tc>
        <w:tc>
          <w:tcPr/>
          <w:p>
            <w:pPr>
              <w:pStyle w:val="Compact"/>
              <w:jc w:val="left"/>
            </w:pPr>
            <w:r>
              <w:t xml:space="preserve">v6 status</w:t>
            </w:r>
          </w:p>
        </w:tc>
        <w:tc>
          <w:tcPr/>
          <w:p>
            <w:pPr>
              <w:pStyle w:val="Compact"/>
              <w:jc w:val="left"/>
            </w:pPr>
            <w:r>
              <w:t xml:space="preserve">v6.1 status</w:t>
            </w:r>
          </w:p>
        </w:tc>
        <w:tc>
          <w:tcPr/>
          <w:p>
            <w:pPr>
              <w:pStyle w:val="Compact"/>
              <w:jc w:val="left"/>
            </w:pPr>
            <w:r>
              <w:t xml:space="preserve">Source</w:t>
            </w:r>
          </w:p>
        </w:tc>
      </w:tr>
      <w:tr>
        <w:tc>
          <w:tcPr/>
          <w:p>
            <w:pPr>
              <w:pStyle w:val="Compact"/>
              <w:jc w:val="left"/>
            </w:pPr>
            <w:r>
              <w:t xml:space="preserve">P1 / RVM ν</w:t>
            </w:r>
          </w:p>
        </w:tc>
        <w:tc>
          <w:tcPr/>
          <w:p>
            <w:pPr>
              <w:pStyle w:val="Compact"/>
              <w:jc w:val="left"/>
            </w:pPr>
            <w:r>
              <w:t xml:space="preserve">Predicted 10⁻³</w:t>
            </w:r>
          </w:p>
        </w:tc>
        <w:tc>
          <w:tcPr/>
          <w:p>
            <w:pPr>
              <w:pStyle w:val="Compact"/>
              <w:jc w:val="left"/>
            </w:pPr>
            <w:r>
              <w:t xml:space="preserve">Empirically 10⁻³–10⁻², audit pending</w:t>
            </w:r>
          </w:p>
        </w:tc>
        <w:tc>
          <w:tcPr/>
          <w:p>
            <w:pPr>
              <w:pStyle w:val="Compact"/>
              <w:jc w:val="left"/>
            </w:pPr>
            <w:r>
              <w:t xml:space="preserve">Test 01 + P01</w:t>
            </w:r>
          </w:p>
        </w:tc>
      </w:tr>
      <w:tr>
        <w:tc>
          <w:tcPr/>
          <w:p>
            <w:pPr>
              <w:pStyle w:val="Compact"/>
              <w:jc w:val="left"/>
            </w:pPr>
            <w:r>
              <w:t xml:space="preserve">P3 / filament alignment</w:t>
            </w:r>
          </w:p>
        </w:tc>
        <w:tc>
          <w:tcPr/>
          <w:p>
            <w:pPr>
              <w:pStyle w:val="Compact"/>
              <w:jc w:val="left"/>
            </w:pPr>
            <w:r>
              <w:t xml:space="preserve">Predicted</w:t>
            </w:r>
          </w:p>
        </w:tc>
        <w:tc>
          <w:tcPr/>
          <w:p>
            <w:pPr>
              <w:pStyle w:val="Compact"/>
              <w:jc w:val="left"/>
            </w:pPr>
            <w:r>
              <w:t xml:space="preserve">Detected 17.8σ, r &gt; BAO</w:t>
            </w:r>
          </w:p>
        </w:tc>
        <w:tc>
          <w:tcPr/>
          <w:p>
            <w:pPr>
              <w:pStyle w:val="Compact"/>
              <w:jc w:val="left"/>
            </w:pPr>
            <w:r>
              <w:t xml:space="preserve">Test 11</w:t>
            </w:r>
          </w:p>
        </w:tc>
      </w:tr>
      <w:tr>
        <w:tc>
          <w:tcPr/>
          <w:p>
            <w:pPr>
              <w:pStyle w:val="Compact"/>
              <w:jc w:val="left"/>
            </w:pPr>
            <w:r>
              <w:t xml:space="preserve">P4 / CMB axis</w:t>
            </w:r>
          </w:p>
        </w:tc>
        <w:tc>
          <w:tcPr/>
          <w:p>
            <w:pPr>
              <w:pStyle w:val="Compact"/>
              <w:jc w:val="left"/>
            </w:pPr>
            <w:r>
              <w:t xml:space="preserve">Predicted</w:t>
            </w:r>
          </w:p>
        </w:tc>
        <w:tc>
          <w:tcPr/>
          <w:p>
            <w:pPr>
              <w:pStyle w:val="Compact"/>
              <w:jc w:val="left"/>
            </w:pPr>
            <w:r>
              <w:t xml:space="preserve">Inconclusive</w:t>
            </w:r>
          </w:p>
        </w:tc>
        <w:tc>
          <w:tcPr/>
          <w:p>
            <w:pPr>
              <w:pStyle w:val="Compact"/>
              <w:jc w:val="left"/>
            </w:pPr>
            <w:r>
              <w:t xml:space="preserve">Test 03</w:t>
            </w:r>
          </w:p>
        </w:tc>
      </w:tr>
      <w:tr>
        <w:tc>
          <w:tcPr/>
          <w:p>
            <w:pPr>
              <w:pStyle w:val="Compact"/>
              <w:jc w:val="left"/>
            </w:pPr>
            <w:r>
              <w:t xml:space="preserve">P5 / KSS saturation</w:t>
            </w:r>
          </w:p>
        </w:tc>
        <w:tc>
          <w:tcPr/>
          <w:p>
            <w:pPr>
              <w:pStyle w:val="Compact"/>
              <w:jc w:val="left"/>
            </w:pPr>
            <w:r>
              <w:t xml:space="preserve">Predicted universal</w:t>
            </w:r>
          </w:p>
        </w:tc>
        <w:tc>
          <w:tcPr/>
          <w:p>
            <w:pPr>
              <w:pStyle w:val="Compact"/>
              <w:jc w:val="left"/>
            </w:pPr>
            <w:r>
              <w:t xml:space="preserve">Near-saturated in QGP only</w:t>
            </w:r>
          </w:p>
        </w:tc>
        <w:tc>
          <w:tcPr/>
          <w:p>
            <w:pPr>
              <w:pStyle w:val="Compact"/>
              <w:jc w:val="left"/>
            </w:pPr>
            <w:r>
              <w:t xml:space="preserve">Test 09</w:t>
            </w:r>
          </w:p>
        </w:tc>
      </w:tr>
      <w:tr>
        <w:tc>
          <w:tcPr/>
          <w:p>
            <w:pPr>
              <w:pStyle w:val="Compact"/>
              <w:jc w:val="left"/>
            </w:pPr>
            <w:r>
              <w:t xml:space="preserve">P7-ext / multi-harmonic w(z)</w:t>
            </w:r>
          </w:p>
        </w:tc>
        <w:tc>
          <w:tcPr/>
          <w:p>
            <w:pPr>
              <w:pStyle w:val="Compact"/>
              <w:jc w:val="left"/>
            </w:pPr>
            <w:r>
              <w:t xml:space="preserve">Predicted</w:t>
            </w:r>
          </w:p>
        </w:tc>
        <w:tc>
          <w:tcPr/>
          <w:p>
            <w:pPr>
              <w:pStyle w:val="Compact"/>
              <w:jc w:val="left"/>
            </w:pPr>
            <w:r>
              <w:t xml:space="preserve">Supported (audit pending)</w:t>
            </w:r>
          </w:p>
        </w:tc>
        <w:tc>
          <w:tcPr/>
          <w:p>
            <w:pPr>
              <w:pStyle w:val="Compact"/>
              <w:jc w:val="left"/>
            </w:pPr>
            <w:r>
              <w:t xml:space="preserve">Test 02</w:t>
            </w:r>
          </w:p>
        </w:tc>
      </w:tr>
      <w:tr>
        <w:tc>
          <w:tcPr/>
          <w:p>
            <w:pPr>
              <w:pStyle w:val="Compact"/>
              <w:jc w:val="left"/>
            </w:pPr>
            <w:r>
              <w:t xml:space="preserve">P8 / pulsar timing comb</w:t>
            </w:r>
          </w:p>
        </w:tc>
        <w:tc>
          <w:tcPr/>
          <w:p>
            <w:pPr>
              <w:pStyle w:val="Compact"/>
              <w:jc w:val="left"/>
            </w:pPr>
            <w:r>
              <w:t xml:space="preserve">Predicted</w:t>
            </w:r>
          </w:p>
        </w:tc>
        <w:tc>
          <w:tcPr/>
          <w:p>
            <w:pPr>
              <w:pStyle w:val="Compact"/>
              <w:jc w:val="left"/>
            </w:pPr>
            <w:r>
              <w:t xml:space="preserve">Null, uninformative</w:t>
            </w:r>
          </w:p>
        </w:tc>
        <w:tc>
          <w:tcPr/>
          <w:p>
            <w:pPr>
              <w:pStyle w:val="Compact"/>
              <w:jc w:val="left"/>
            </w:pPr>
            <w:r>
              <w:t xml:space="preserve">Test 05</w:t>
            </w:r>
          </w:p>
        </w:tc>
      </w:tr>
      <w:tr>
        <w:tc>
          <w:tcPr/>
          <w:p>
            <w:pPr>
              <w:pStyle w:val="Compact"/>
              <w:jc w:val="left"/>
            </w:pPr>
            <w:r>
              <w:t xml:space="preserve">P9a / 1–2 GeV excess</w:t>
            </w:r>
          </w:p>
        </w:tc>
        <w:tc>
          <w:tcPr/>
          <w:p>
            <w:pPr>
              <w:pStyle w:val="Compact"/>
              <w:jc w:val="left"/>
            </w:pPr>
            <w:r>
              <w:t xml:space="preserve">Predicted</w:t>
            </w:r>
          </w:p>
        </w:tc>
        <w:tc>
          <w:tcPr/>
          <w:p>
            <w:pPr>
              <w:pStyle w:val="Compact"/>
              <w:jc w:val="left"/>
            </w:pPr>
            <w:r>
              <w:rPr>
                <w:bCs/>
                <w:b/>
              </w:rPr>
              <w:t xml:space="preserve">Falsified, removed</w:t>
            </w:r>
          </w:p>
        </w:tc>
        <w:tc>
          <w:tcPr/>
          <w:p>
            <w:pPr>
              <w:pStyle w:val="Compact"/>
              <w:jc w:val="left"/>
            </w:pPr>
            <w:r>
              <w:t xml:space="preserve">Test 06</w:t>
            </w:r>
          </w:p>
        </w:tc>
      </w:tr>
      <w:tr>
        <w:tc>
          <w:tcPr/>
          <w:p>
            <w:pPr>
              <w:pStyle w:val="Compact"/>
              <w:jc w:val="left"/>
            </w:pPr>
            <w:r>
              <w:t xml:space="preserve">P9c / QGP dip-peak</w:t>
            </w:r>
          </w:p>
        </w:tc>
        <w:tc>
          <w:tcPr/>
          <w:p>
            <w:pPr>
              <w:pStyle w:val="Compact"/>
              <w:jc w:val="left"/>
            </w:pPr>
            <w:r>
              <w:t xml:space="preserve">Predicted</w:t>
            </w:r>
          </w:p>
        </w:tc>
        <w:tc>
          <w:tcPr/>
          <w:p>
            <w:pPr>
              <w:pStyle w:val="Compact"/>
              <w:jc w:val="left"/>
            </w:pPr>
            <w:r>
              <w:rPr>
                <w:bCs/>
                <w:b/>
              </w:rPr>
              <w:t xml:space="preserve">Falsified, removed</w:t>
            </w:r>
          </w:p>
        </w:tc>
        <w:tc>
          <w:tcPr/>
          <w:p>
            <w:pPr>
              <w:pStyle w:val="Compact"/>
              <w:jc w:val="left"/>
            </w:pPr>
            <w:r>
              <w:t xml:space="preserve">Test 09</w:t>
            </w:r>
          </w:p>
        </w:tc>
      </w:tr>
      <w:tr>
        <w:tc>
          <w:tcPr/>
          <w:p>
            <w:pPr>
              <w:pStyle w:val="Compact"/>
              <w:jc w:val="left"/>
            </w:pPr>
            <w:r>
              <w:t xml:space="preserve">P9d / R_K = √3</w:t>
            </w:r>
          </w:p>
        </w:tc>
        <w:tc>
          <w:tcPr/>
          <w:p>
            <w:pPr>
              <w:pStyle w:val="Compact"/>
              <w:jc w:val="left"/>
            </w:pPr>
            <w:r>
              <w:t xml:space="preserve">Predicted</w:t>
            </w:r>
          </w:p>
        </w:tc>
        <w:tc>
          <w:tcPr/>
          <w:p>
            <w:pPr>
              <w:pStyle w:val="Compact"/>
              <w:jc w:val="left"/>
            </w:pPr>
            <w:r>
              <w:t xml:space="preserve">Cannot fire, central value consistent</w:t>
            </w:r>
          </w:p>
        </w:tc>
        <w:tc>
          <w:tcPr/>
          <w:p>
            <w:pPr>
              <w:pStyle w:val="Compact"/>
              <w:jc w:val="left"/>
            </w:pPr>
            <w:r>
              <w:t xml:space="preserve">Test 07</w:t>
            </w:r>
          </w:p>
        </w:tc>
      </w:tr>
      <w:tr>
        <w:tc>
          <w:tcPr/>
          <w:p>
            <w:pPr>
              <w:pStyle w:val="Compact"/>
              <w:jc w:val="left"/>
            </w:pPr>
            <w:r>
              <w:t xml:space="preserve">P10 / DM tower</w:t>
            </w:r>
          </w:p>
        </w:tc>
        <w:tc>
          <w:tcPr/>
          <w:p>
            <w:pPr>
              <w:pStyle w:val="Compact"/>
              <w:jc w:val="left"/>
            </w:pPr>
            <w:r>
              <w:t xml:space="preserve">Predicted</w:t>
            </w:r>
          </w:p>
        </w:tc>
        <w:tc>
          <w:tcPr/>
          <w:p>
            <w:pPr>
              <w:pStyle w:val="Compact"/>
              <w:jc w:val="left"/>
            </w:pPr>
            <w:r>
              <w:t xml:space="preserve">Untested (insufficient mass reach)</w:t>
            </w:r>
          </w:p>
        </w:tc>
        <w:tc>
          <w:tcPr/>
          <w:p>
            <w:pPr>
              <w:pStyle w:val="Compact"/>
              <w:jc w:val="left"/>
            </w:pPr>
            <w:r>
              <w:t xml:space="preserve">Test 08</w:t>
            </w:r>
          </w:p>
        </w:tc>
      </w:tr>
      <w:tr>
        <w:tc>
          <w:tcPr/>
          <w:p>
            <w:pPr>
              <w:pStyle w:val="Compact"/>
              <w:jc w:val="left"/>
            </w:pPr>
            <w:r>
              <w:t xml:space="preserve">P11 / CMB μ/y</w:t>
            </w:r>
          </w:p>
        </w:tc>
        <w:tc>
          <w:tcPr/>
          <w:p>
            <w:pPr>
              <w:pStyle w:val="Compact"/>
              <w:jc w:val="left"/>
            </w:pPr>
            <w:r>
              <w:t xml:space="preserve">Predicted</w:t>
            </w:r>
          </w:p>
        </w:tc>
        <w:tc>
          <w:tcPr/>
          <w:p>
            <w:pPr>
              <w:pStyle w:val="Compact"/>
              <w:jc w:val="left"/>
            </w:pPr>
            <w:r>
              <w:t xml:space="preserve">Consistent with FIRAS, future test</w:t>
            </w:r>
          </w:p>
        </w:tc>
        <w:tc>
          <w:tcPr/>
          <w:p>
            <w:pPr>
              <w:pStyle w:val="Compact"/>
              <w:jc w:val="left"/>
            </w:pPr>
            <w:r>
              <w:t xml:space="preserve">Test 04</w:t>
            </w:r>
          </w:p>
        </w:tc>
      </w:tr>
      <w:tr>
        <w:tc>
          <w:tcPr/>
          <w:p>
            <w:pPr>
              <w:pStyle w:val="Compact"/>
              <w:jc w:val="left"/>
            </w:pPr>
            <w:r>
              <w:t xml:space="preserve">§6.1 / local a₀</w:t>
            </w:r>
          </w:p>
        </w:tc>
        <w:tc>
          <w:tcPr/>
          <w:p>
            <w:pPr>
              <w:pStyle w:val="Compact"/>
              <w:jc w:val="left"/>
            </w:pPr>
            <w:r>
              <w:t xml:space="preserve">Predicted (Milgrom)</w:t>
            </w:r>
          </w:p>
        </w:tc>
        <w:tc>
          <w:tcPr/>
          <w:p>
            <w:pPr>
              <w:pStyle w:val="Compact"/>
              <w:jc w:val="left"/>
            </w:pPr>
            <w:r>
              <w:t xml:space="preserve">Confirmed 3.3% from Milgrom</w:t>
            </w:r>
          </w:p>
        </w:tc>
        <w:tc>
          <w:tcPr/>
          <w:p>
            <w:pPr>
              <w:pStyle w:val="Compact"/>
              <w:jc w:val="left"/>
            </w:pPr>
            <w:r>
              <w:t xml:space="preserve">Test 10</w:t>
            </w:r>
          </w:p>
        </w:tc>
      </w:tr>
    </w:tbl>
    <w:p>
      <w:pPr>
        <w:pStyle w:val="BodyText"/>
      </w:pPr>
      <w:r>
        <w:t xml:space="preserve">The cascade hard core (number of DM peaks = N − 4 with geometric mass ratios) remains the single most diagnostic test and remains untested.</w:t>
      </w:r>
    </w:p>
    <w:bookmarkEnd w:id="26"/>
    <w:bookmarkStart w:id="27" w:name="open-issues"/>
    <w:p>
      <w:pPr>
        <w:pStyle w:val="Heading1"/>
      </w:pPr>
      <w:r>
        <w:t xml:space="preserve">3. Open Issues</w:t>
      </w:r>
    </w:p>
    <w:p>
      <w:pPr>
        <w:pStyle w:val="FirstParagraph"/>
      </w:pPr>
      <w:r>
        <w:rPr>
          <w:bCs/>
          <w:b/>
        </w:rPr>
        <w:t xml:space="preserve">3.1 The ν audit.</w:t>
      </w:r>
      <w:r>
        <w:t xml:space="preserve"> </w:t>
      </w:r>
      <w:r>
        <w:t xml:space="preserve">Two scripts return materially different values from nominally the same data. The audit identifies the differences (SN intercept treatment, BAO covariance source, Planck-prior construction) but does not yet say which construction is correct. v6.1 cannot fix ν until this converges. The most urgent next step is to run a</w:t>
      </w:r>
      <w:r>
        <w:t xml:space="preserve"> </w:t>
      </w:r>
      <w:r>
        <w:rPr>
          <w:iCs/>
          <w:i/>
        </w:rPr>
        <w:t xml:space="preserve">single</w:t>
      </w:r>
      <w:r>
        <w:t xml:space="preserve"> </w:t>
      </w:r>
      <w:r>
        <w:t xml:space="preserve">script that uses the full DESI DR2 covariance, a chain-derived Planck prior, and the Pantheon+ calibrated distance modulus without intercept marginalisation, and to compare its output against both prior runs.</w:t>
      </w:r>
    </w:p>
    <w:p>
      <w:pPr>
        <w:pStyle w:val="BodyText"/>
      </w:pPr>
      <w:r>
        <w:rPr>
          <w:bCs/>
          <w:b/>
        </w:rPr>
        <w:t xml:space="preserve">3.2 Test 02 detrending.</w:t>
      </w:r>
      <w:r>
        <w:t xml:space="preserve"> </w:t>
      </w:r>
      <w:r>
        <w:t xml:space="preserve">The multi-harmonic w(z) result is currently degenerate with a non-stationary trend. Re-fitting with an oscillation-only basis is required.</w:t>
      </w:r>
    </w:p>
    <w:p>
      <w:pPr>
        <w:pStyle w:val="BodyText"/>
      </w:pPr>
      <w:r>
        <w:rPr>
          <w:bCs/>
          <w:b/>
        </w:rPr>
        <w:t xml:space="preserve">3.3 The cascade hard core.</w:t>
      </w:r>
      <w:r>
        <w:t xml:space="preserve"> </w:t>
      </w:r>
      <w:r>
        <w:t xml:space="preserve">No direct-detection experiment has yet probed the predicted ~TeV scale for the second cascade residue. This will not change until next-generation tonne-scale facilities report.</w:t>
      </w:r>
    </w:p>
    <w:p>
      <w:pPr>
        <w:pStyle w:val="BodyText"/>
      </w:pPr>
      <w:r>
        <w:rPr>
          <w:bCs/>
          <w:b/>
        </w:rPr>
        <w:t xml:space="preserve">3.4 The §5 Koide reading.</w:t>
      </w:r>
      <w:r>
        <w:t xml:space="preserve"> </w:t>
      </w:r>
      <w:r>
        <w:t xml:space="preserve">The 37σ scale dependence of Q_up between 2 GeV and M_Z, addressed in v6 §6.3 by restricting the Brillouin-zone derivation to the crystallisation scale, has not been independently tested by the first-round campaign. It remains a structural caveat rather than a measured failure.</w:t>
      </w:r>
    </w:p>
    <w:bookmarkEnd w:id="27"/>
    <w:bookmarkStart w:id="28" w:name="conclusion"/>
    <w:p>
      <w:pPr>
        <w:pStyle w:val="Heading1"/>
      </w:pPr>
      <w:r>
        <w:t xml:space="preserve">4. Conclusion</w:t>
      </w:r>
    </w:p>
    <w:p>
      <w:pPr>
        <w:pStyle w:val="FirstParagraph"/>
      </w:pPr>
      <w:r>
        <w:t xml:space="preserve">CCDR v6.1 incorporates eleven first-round test results into the v6 framework. Three predictions are confirmed or strongly supported (filament alignment at 17.8σ; local a₀ retreat to Milgrom; multi-harmonic w(z) pending detrending audit). Two predictions are falsified and removed (P9a hadronic excess, P9c QGP dip-peak). One central numerical parameter (ν) is reclassified as empirically uncertain pending pipeline reconciliation. The cascade hard core — the geometric dark-matter mass tower — remains untested for lack of sensitivity, not for lack of opportunity.</w:t>
      </w:r>
    </w:p>
    <w:p>
      <w:pPr>
        <w:pStyle w:val="BodyText"/>
      </w:pPr>
      <w:r>
        <w:t xml:space="preserve">The framework’s structural claims survive the first round, but the rhetorical posture is necessarily more cautious than v6: v6.1 treats</w:t>
      </w:r>
      <w:r>
        <w:t xml:space="preserve"> </w:t>
      </w:r>
      <w:r>
        <w:rPr>
          <w:iCs/>
          <w:i/>
        </w:rPr>
        <w:t xml:space="preserve">measurement</w:t>
      </w:r>
      <w:r>
        <w:t xml:space="preserve"> </w:t>
      </w:r>
      <w:r>
        <w:t xml:space="preserve">as ahead of</w:t>
      </w:r>
      <w:r>
        <w:t xml:space="preserve"> </w:t>
      </w:r>
      <w:r>
        <w:rPr>
          <w:iCs/>
          <w:i/>
        </w:rPr>
        <w:t xml:space="preserve">prediction</w:t>
      </w:r>
      <w:r>
        <w:t xml:space="preserve"> </w:t>
      </w:r>
      <w:r>
        <w:t xml:space="preserve">on every parameter where data exist, and openly flags the unresolved pipeline disagreement on ν as a blocker for further numerical refinement.</w:t>
      </w:r>
    </w:p>
    <w:bookmarkEnd w:id="28"/>
    <w:bookmarkStart w:id="29" w:name="references"/>
    <w:p>
      <w:pPr>
        <w:pStyle w:val="Heading1"/>
      </w:pPr>
      <w:r>
        <w:t xml:space="preserve">References</w:t>
      </w:r>
    </w:p>
    <w:p>
      <w:pPr>
        <w:pStyle w:val="FirstParagraph"/>
      </w:pPr>
      <w:r>
        <w:t xml:space="preserve">As in v6, plus the eleven first-round test specifications and the Tempel et al. (2014) filament catalogue.</w:t>
      </w:r>
    </w:p>
    <w:p>
      <w:r>
        <w:pict>
          <v:rect style="width:0;height:1.5pt" o:hralign="center" o:hrstd="t" o:hr="t"/>
        </w:pict>
      </w:r>
    </w:p>
    <w:p>
      <w:pPr>
        <w:pStyle w:val="FirstParagraph"/>
      </w:pPr>
      <w:r>
        <w:rPr>
          <w:iCs/>
          <w:i/>
        </w:rPr>
        <w:t xml:space="preserve">Manuscript prepared for double-blind peer review.</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Crystallographic Cosmology from Dimensional Reduction (CCDR v6.1)</dc:title>
  <dc:creator>[Author names withheld]</dc:creator>
  <cp:keywords/>
  <dcterms:created xsi:type="dcterms:W3CDTF">2026-04-11T09:15:31Z</dcterms:created>
  <dcterms:modified xsi:type="dcterms:W3CDTF">2026-04-11T09:15:31Z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Cascade Compactification, Dark-Matter Mass Tower, and Empirical Determination of N — with First-Round Test Results</vt:lpwstr>
  </property>
</Properties>
</file>