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Extended</w:t>
      </w:r>
      <w:r>
        <w:t xml:space="preserve"> </w:t>
      </w:r>
      <w:r>
        <w:t xml:space="preserve">Crystallographic</w:t>
      </w:r>
      <w:r>
        <w:t xml:space="preserve"> </w:t>
      </w:r>
      <w:r>
        <w:t xml:space="preserve">Synthesis</w:t>
      </w:r>
      <w:r>
        <w:t xml:space="preserve"> </w:t>
      </w:r>
      <w:r>
        <w:t xml:space="preserve">(v2.1)</w:t>
      </w:r>
    </w:p>
    <w:p>
      <w:pPr>
        <w:pStyle w:val="Subtitle"/>
      </w:pPr>
      <w:r>
        <w:t xml:space="preserve">12</w:t>
      </w:r>
      <w:r>
        <w:t xml:space="preserve"> </w:t>
      </w:r>
      <w:r>
        <w:t xml:space="preserve">+</w:t>
      </w:r>
      <w:r>
        <w:t xml:space="preserve"> </w:t>
      </w:r>
      <w:r>
        <w:t xml:space="preserve">3</w:t>
      </w:r>
      <w:r>
        <w:t xml:space="preserve"> </w:t>
      </w:r>
      <w:r>
        <w:t xml:space="preserve">+</w:t>
      </w:r>
      <w:r>
        <w:t xml:space="preserve"> </w:t>
      </w:r>
      <w:r>
        <w:t xml:space="preserve">6,</w:t>
      </w:r>
      <w:r>
        <w:t xml:space="preserve"> </w:t>
      </w:r>
      <w:r>
        <w:t xml:space="preserve">aligned</w:t>
      </w:r>
      <w:r>
        <w:t xml:space="preserve"> </w:t>
      </w:r>
      <w:r>
        <w:t xml:space="preserve">with</w:t>
      </w:r>
      <w:r>
        <w:t xml:space="preserve"> </w:t>
      </w:r>
      <w:r>
        <w:t xml:space="preserve">CCDR</w:t>
      </w:r>
      <w:r>
        <w:t xml:space="preserve"> </w:t>
      </w:r>
      <w:r>
        <w:t xml:space="preserve">v6.1,</w:t>
      </w:r>
      <w:r>
        <w:t xml:space="preserve"> </w:t>
      </w:r>
      <w:r>
        <w:t xml:space="preserve">with</w:t>
      </w:r>
      <w:r>
        <w:t xml:space="preserve"> </w:t>
      </w:r>
      <w:r>
        <w:t xml:space="preserve">First-Round</w:t>
      </w:r>
      <w:r>
        <w:t xml:space="preserve"> </w:t>
      </w:r>
      <w:r>
        <w:t xml:space="preserve">Test</w:t>
      </w:r>
      <w:r>
        <w:t xml:space="preserve"> </w:t>
      </w:r>
      <w:r>
        <w:t xml:space="preserve">Results</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Synthesis v2.1 incorporates the eleven first-round test results into the v2 architecture. Three changes:</w:t>
      </w:r>
    </w:p>
    <w:p>
      <w:pPr>
        <w:numPr>
          <w:ilvl w:val="0"/>
          <w:numId w:val="1001"/>
        </w:numPr>
      </w:pPr>
      <w:r>
        <w:rPr>
          <w:bCs/>
          <w:b/>
        </w:rPr>
        <w:t xml:space="preserve">P21 (TGFT-RG IR fixed-point ν)</w:t>
      </w:r>
      <w:r>
        <w:t xml:space="preserve"> </w:t>
      </w:r>
      <w:r>
        <w:t xml:space="preserve">is reclassified from</w:t>
      </w:r>
      <w:r>
        <w:t xml:space="preserve"> </w:t>
      </w:r>
      <w:r>
        <w:t xml:space="preserve">“</w:t>
      </w:r>
      <w:r>
        <w:t xml:space="preserve">predicted 10⁻³</w:t>
      </w:r>
      <w:r>
        <w:t xml:space="preserve">”</w:t>
      </w:r>
      <w:r>
        <w:t xml:space="preserve"> </w:t>
      </w:r>
      <w:r>
        <w:t xml:space="preserve">to</w:t>
      </w:r>
      <w:r>
        <w:t xml:space="preserve"> </w:t>
      </w:r>
      <w:r>
        <w:t xml:space="preserve">“</w:t>
      </w:r>
      <w:r>
        <w:t xml:space="preserve">empirically 10⁻³–10⁻², audit pending</w:t>
      </w:r>
      <w:r>
        <w:t xml:space="preserve">”</w:t>
      </w:r>
      <w:r>
        <w:t xml:space="preserve">. The two cosmological fits available (P01 simplified, T01 full) differ on ν by an order of magnitude due to materially different SN intercept treatments, BAO covariance sources, and Planck prior constructions, not due to data inconsistency. Until the pipeline audit converges, v2.1 carries ν as a free parameter and refrains from claiming P21 confirmation.</w:t>
      </w:r>
    </w:p>
    <w:p>
      <w:pPr>
        <w:numPr>
          <w:ilvl w:val="0"/>
          <w:numId w:val="1001"/>
        </w:numPr>
      </w:pPr>
      <w:r>
        <w:rPr>
          <w:bCs/>
          <w:b/>
        </w:rPr>
        <w:t xml:space="preserve">Two predictions are removed from the active list as falsified by published data.</w:t>
      </w:r>
      <w:r>
        <w:t xml:space="preserve"> </w:t>
      </w:r>
      <w:r>
        <w:t xml:space="preserve">P9a (1–2 GeV LHCb dimuon excess) is excluded by CMS EXO-21-005 and LHCb low-mass dimuon analyses. P9c (QGP η/s dip-peak structure) is excluded by the Parkkila et al. (2021) JETSCAPE-MAP parametrisation, which finds monotonic non-decreasing η/s in T = 140–170 MeV.</w:t>
      </w:r>
    </w:p>
    <w:p>
      <w:pPr>
        <w:numPr>
          <w:ilvl w:val="0"/>
          <w:numId w:val="1001"/>
        </w:numPr>
      </w:pPr>
      <w:r>
        <w:rPr>
          <w:bCs/>
          <w:b/>
        </w:rPr>
        <w:t xml:space="preserve">One prediction is upgraded to confirmed.</w:t>
      </w:r>
      <w:r>
        <w:t xml:space="preserve"> </w:t>
      </w:r>
      <w:r>
        <w:t xml:space="preserve">P3 (filament orientational correlation, retained from v5 in the v2 inherited list) is detected at 17.8σ in the Tempel et al. (2014) catalogue with characteristic length 163 Mpc/h, modestly above the BAO scale.</w:t>
      </w:r>
    </w:p>
    <w:p>
      <w:pPr>
        <w:pStyle w:val="FirstParagraph"/>
      </w:pPr>
      <w:r>
        <w:t xml:space="preserve">The 12 + 3 + 6 architecture is preserved. Layer 0 (the cascade hard core) remains untested because the relevant direct-detection mass reach has not yet been achieved. The Lakatosian protective belt absorbs the two falsifications cleanly: P9a and P9c were CERN-side decorations, not core predictions, and their removal does not destabilise any layer.</w:t>
      </w:r>
    </w:p>
    <w:bookmarkEnd w:id="20"/>
    <w:bookmarkStart w:id="21" w:name="updated-status-of-predictions-p21p28"/>
    <w:p>
      <w:pPr>
        <w:pStyle w:val="Heading1"/>
      </w:pPr>
      <w:r>
        <w:t xml:space="preserve">1. Updated Status of Predictions P21–P28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v2 status</w:t>
            </w:r>
          </w:p>
        </w:tc>
        <w:tc>
          <w:tcPr/>
          <w:p>
            <w:pPr>
              <w:pStyle w:val="Compact"/>
              <w:jc w:val="left"/>
            </w:pPr>
            <w:r>
              <w:t xml:space="preserve">v2.1 status</w:t>
            </w:r>
          </w:p>
        </w:tc>
      </w:tr>
      <w:tr>
        <w:tc>
          <w:tcPr/>
          <w:p>
            <w:pPr>
              <w:pStyle w:val="Compact"/>
              <w:jc w:val="left"/>
            </w:pPr>
            <w:r>
              <w:t xml:space="preserve">P21 (ν as TGFT-RG IR fixed point)</w:t>
            </w:r>
          </w:p>
        </w:tc>
        <w:tc>
          <w:tcPr/>
          <w:p>
            <w:pPr>
              <w:pStyle w:val="Compact"/>
              <w:jc w:val="left"/>
            </w:pPr>
            <w:r>
              <w:t xml:space="preserve">Predicted 10⁻³</w:t>
            </w:r>
          </w:p>
        </w:tc>
        <w:tc>
          <w:tcPr/>
          <w:p>
            <w:pPr>
              <w:pStyle w:val="Compact"/>
              <w:jc w:val="left"/>
            </w:pPr>
            <w:r>
              <w:t xml:space="preserve">Audit pending; ν measured in 10⁻³–10⁻²</w:t>
            </w:r>
          </w:p>
        </w:tc>
      </w:tr>
      <w:tr>
        <w:tc>
          <w:tcPr/>
          <w:p>
            <w:pPr>
              <w:pStyle w:val="Compact"/>
              <w:jc w:val="left"/>
            </w:pPr>
            <w:r>
              <w:t xml:space="preserve">P22 (γ_AS = γ_EPRL stage by stage)</w:t>
            </w:r>
          </w:p>
        </w:tc>
        <w:tc>
          <w:tcPr/>
          <w:p>
            <w:pPr>
              <w:pStyle w:val="Compact"/>
              <w:jc w:val="left"/>
            </w:pPr>
            <w:r>
              <w:t xml:space="preserve">Predicted</w:t>
            </w:r>
          </w:p>
        </w:tc>
        <w:tc>
          <w:tcPr/>
          <w:p>
            <w:pPr>
              <w:pStyle w:val="Compact"/>
              <w:jc w:val="left"/>
            </w:pPr>
            <w:r>
              <w:t xml:space="preserve">Untested (requires Bahr–Steinhaus implementation)</w:t>
            </w:r>
          </w:p>
        </w:tc>
      </w:tr>
      <w:tr>
        <w:tc>
          <w:tcPr/>
          <w:p>
            <w:pPr>
              <w:pStyle w:val="Compact"/>
              <w:jc w:val="left"/>
            </w:pPr>
            <w:r>
              <w:t xml:space="preserve">P23 (TGFT-RG cascade phase transitions)</w:t>
            </w:r>
          </w:p>
        </w:tc>
        <w:tc>
          <w:tcPr/>
          <w:p>
            <w:pPr>
              <w:pStyle w:val="Compact"/>
              <w:jc w:val="left"/>
            </w:pPr>
            <w:r>
              <w:t xml:space="preserve">Predicted</w:t>
            </w:r>
          </w:p>
        </w:tc>
        <w:tc>
          <w:tcPr/>
          <w:p>
            <w:pPr>
              <w:pStyle w:val="Compact"/>
              <w:jc w:val="left"/>
            </w:pPr>
            <w:r>
              <w:t xml:space="preserve">Untested</w:t>
            </w:r>
          </w:p>
        </w:tc>
      </w:tr>
      <w:tr>
        <w:tc>
          <w:tcPr/>
          <w:p>
            <w:pPr>
              <w:pStyle w:val="Compact"/>
              <w:jc w:val="left"/>
            </w:pPr>
            <w:r>
              <w:t xml:space="preserve">P24 (DA/O upper bound N ≤ 11)</w:t>
            </w:r>
          </w:p>
        </w:tc>
        <w:tc>
          <w:tcPr/>
          <w:p>
            <w:pPr>
              <w:pStyle w:val="Compact"/>
              <w:jc w:val="left"/>
            </w:pPr>
            <w:r>
              <w:t xml:space="preserve">Predicted</w:t>
            </w:r>
          </w:p>
        </w:tc>
        <w:tc>
          <w:tcPr/>
          <w:p>
            <w:pPr>
              <w:pStyle w:val="Compact"/>
              <w:jc w:val="left"/>
            </w:pPr>
            <w:r>
              <w:t xml:space="preserve">Consistent with all data; not yet binding</w:t>
            </w:r>
          </w:p>
        </w:tc>
      </w:tr>
      <w:tr>
        <w:tc>
          <w:tcPr/>
          <w:p>
            <w:pPr>
              <w:pStyle w:val="Compact"/>
              <w:jc w:val="left"/>
            </w:pPr>
            <w:r>
              <w:t xml:space="preserve">P25 (DM peak counting → N)</w:t>
            </w:r>
          </w:p>
        </w:tc>
        <w:tc>
          <w:tcPr/>
          <w:p>
            <w:pPr>
              <w:pStyle w:val="Compact"/>
              <w:jc w:val="left"/>
            </w:pPr>
            <w:r>
              <w:t xml:space="preserve">Predicted protocol</w:t>
            </w:r>
          </w:p>
        </w:tc>
        <w:tc>
          <w:tcPr/>
          <w:p>
            <w:pPr>
              <w:pStyle w:val="Compact"/>
              <w:jc w:val="left"/>
            </w:pPr>
            <w:r>
              <w:t xml:space="preserve">Insufficient mass reach; m₅ &gt; 12 GeV only</w:t>
            </w:r>
          </w:p>
        </w:tc>
      </w:tr>
      <w:tr>
        <w:tc>
          <w:tcPr/>
          <w:p>
            <w:pPr>
              <w:pStyle w:val="Compact"/>
              <w:jc w:val="left"/>
            </w:pPr>
            <w:r>
              <w:t xml:space="preserve">P26 (BZ ↔ final-stage algebra)</w:t>
            </w:r>
          </w:p>
        </w:tc>
        <w:tc>
          <w:tcPr/>
          <w:p>
            <w:pPr>
              <w:pStyle w:val="Compact"/>
              <w:jc w:val="left"/>
            </w:pPr>
            <w:r>
              <w:t xml:space="preserve">Predicted</w:t>
            </w:r>
          </w:p>
        </w:tc>
        <w:tc>
          <w:tcPr/>
          <w:p>
            <w:pPr>
              <w:pStyle w:val="Compact"/>
              <w:jc w:val="left"/>
            </w:pPr>
            <w:r>
              <w:t xml:space="preserve">Untested</w:t>
            </w:r>
          </w:p>
        </w:tc>
      </w:tr>
      <w:tr>
        <w:tc>
          <w:tcPr/>
          <w:p>
            <w:pPr>
              <w:pStyle w:val="Compact"/>
              <w:jc w:val="left"/>
            </w:pPr>
            <w:r>
              <w:t xml:space="preserve">P27 (geometric mass ratios)</w:t>
            </w:r>
          </w:p>
        </w:tc>
        <w:tc>
          <w:tcPr/>
          <w:p>
            <w:pPr>
              <w:pStyle w:val="Compact"/>
              <w:jc w:val="left"/>
            </w:pPr>
            <w:r>
              <w:t xml:space="preserve">Predicted</w:t>
            </w:r>
          </w:p>
        </w:tc>
        <w:tc>
          <w:tcPr/>
          <w:p>
            <w:pPr>
              <w:pStyle w:val="Compact"/>
              <w:jc w:val="left"/>
            </w:pPr>
            <w:r>
              <w:t xml:space="preserve">Untested</w:t>
            </w:r>
          </w:p>
        </w:tc>
      </w:tr>
      <w:tr>
        <w:tc>
          <w:tcPr/>
          <w:p>
            <w:pPr>
              <w:pStyle w:val="Compact"/>
              <w:jc w:val="left"/>
            </w:pPr>
            <w:r>
              <w:t xml:space="preserve">P28 (staged CMB μ/y distortions)</w:t>
            </w:r>
          </w:p>
        </w:tc>
        <w:tc>
          <w:tcPr/>
          <w:p>
            <w:pPr>
              <w:pStyle w:val="Compact"/>
              <w:jc w:val="left"/>
            </w:pPr>
            <w:r>
              <w:t xml:space="preserve">Predicted</w:t>
            </w:r>
          </w:p>
        </w:tc>
        <w:tc>
          <w:tcPr/>
          <w:p>
            <w:pPr>
              <w:pStyle w:val="Compact"/>
              <w:jc w:val="left"/>
            </w:pPr>
            <w:r>
              <w:t xml:space="preserve">Consistent with FIRAS, decisive test future</w:t>
            </w:r>
          </w:p>
        </w:tc>
      </w:tr>
    </w:tbl>
    <w:p>
      <w:pPr>
        <w:pStyle w:val="BodyText"/>
      </w:pPr>
      <w:r>
        <w:t xml:space="preserve">Of the inherited v5 predictions appearing in the synthesis chain:</w:t>
      </w:r>
    </w:p>
    <w:p>
      <w:pPr>
        <w:numPr>
          <w:ilvl w:val="0"/>
          <w:numId w:val="1002"/>
        </w:numPr>
        <w:pStyle w:val="Compact"/>
      </w:pPr>
      <w:r>
        <w:rPr>
          <w:bCs/>
          <w:b/>
        </w:rPr>
        <w:t xml:space="preserve">P3 (filament alignment) — confirmed at 17.8σ.</w:t>
      </w:r>
      <w:r>
        <w:t xml:space="preserve"> </w:t>
      </w:r>
      <w:r>
        <w:t xml:space="preserve">This is the first synthesis-chain prediction with a discovery-grade measurement.</w:t>
      </w:r>
    </w:p>
    <w:p>
      <w:pPr>
        <w:numPr>
          <w:ilvl w:val="0"/>
          <w:numId w:val="1002"/>
        </w:numPr>
        <w:pStyle w:val="Compact"/>
      </w:pPr>
      <w:r>
        <w:rPr>
          <w:bCs/>
          <w:b/>
        </w:rPr>
        <w:t xml:space="preserve">P9a (1–2 GeV excess) — falsified.</w:t>
      </w:r>
      <w:r>
        <w:t xml:space="preserve"> </w:t>
      </w:r>
      <w:r>
        <w:t xml:space="preserve">Removed.</w:t>
      </w:r>
    </w:p>
    <w:p>
      <w:pPr>
        <w:numPr>
          <w:ilvl w:val="0"/>
          <w:numId w:val="1002"/>
        </w:numPr>
        <w:pStyle w:val="Compact"/>
      </w:pPr>
      <w:r>
        <w:rPr>
          <w:bCs/>
          <w:b/>
        </w:rPr>
        <w:t xml:space="preserve">P9c (QGP dip-peak) — falsified.</w:t>
      </w:r>
      <w:r>
        <w:t xml:space="preserve"> </w:t>
      </w:r>
      <w:r>
        <w:t xml:space="preserve">Removed.</w:t>
      </w:r>
    </w:p>
    <w:p>
      <w:pPr>
        <w:numPr>
          <w:ilvl w:val="0"/>
          <w:numId w:val="1002"/>
        </w:numPr>
        <w:pStyle w:val="Compact"/>
      </w:pPr>
      <w:r>
        <w:rPr>
          <w:bCs/>
          <w:b/>
        </w:rPr>
        <w:t xml:space="preserve">P5 (KSS saturation) — partially supported.</w:t>
      </w:r>
      <w:r>
        <w:t xml:space="preserve"> </w:t>
      </w:r>
      <w:r>
        <w:t xml:space="preserve">η/s ≈ 1.4 × KSS in QGP, the closest any system has come, but not</w:t>
      </w:r>
      <w:r>
        <w:t xml:space="preserve"> </w:t>
      </w:r>
      <w:r>
        <w:t xml:space="preserve">“</w:t>
      </w:r>
      <w:r>
        <w:t xml:space="preserve">saturated</w:t>
      </w:r>
      <w:r>
        <w:t xml:space="preserve">”</w:t>
      </w:r>
      <w:r>
        <w:t xml:space="preserve"> </w:t>
      </w:r>
      <w:r>
        <w:t xml:space="preserve">in the strict sense. v2.1 reports P5 as</w:t>
      </w:r>
      <w:r>
        <w:t xml:space="preserve"> </w:t>
      </w:r>
      <w:r>
        <w:t xml:space="preserve">“</w:t>
      </w:r>
      <w:r>
        <w:t xml:space="preserve">near-saturated, factor of 2</w:t>
      </w:r>
      <w:r>
        <w:t xml:space="preserve">”</w:t>
      </w:r>
      <w:r>
        <w:t xml:space="preserve">.</w:t>
      </w:r>
    </w:p>
    <w:p>
      <w:pPr>
        <w:numPr>
          <w:ilvl w:val="0"/>
          <w:numId w:val="1002"/>
        </w:numPr>
        <w:pStyle w:val="Compact"/>
      </w:pPr>
      <w:r>
        <w:rPr>
          <w:bCs/>
          <w:b/>
        </w:rPr>
        <w:t xml:space="preserve">§6.1 local a₀ retreat — confirmed.</w:t>
      </w:r>
      <w:r>
        <w:t xml:space="preserve"> </w:t>
      </w:r>
      <w:r>
        <w:t xml:space="preserve">SPARC RAR best-fit 1.16 × 10⁻¹⁰ m s⁻², 3.3% from Milgrom.</w:t>
      </w:r>
    </w:p>
    <w:bookmarkEnd w:id="21"/>
    <w:bookmarkStart w:id="22" w:name="effect-on-the-12-frameworks"/>
    <w:p>
      <w:pPr>
        <w:pStyle w:val="Heading1"/>
      </w:pPr>
      <w:r>
        <w:t xml:space="preserve">2. Effect on the 12 Frameworks</w:t>
      </w:r>
    </w:p>
    <w:p>
      <w:pPr>
        <w:pStyle w:val="FirstParagraph"/>
      </w:pPr>
      <w:r>
        <w:rPr>
          <w:bCs/>
          <w:b/>
        </w:rPr>
        <w:t xml:space="preserve">RVM (1.4)</w:t>
      </w:r>
      <w:r>
        <w:t xml:space="preserve"> </w:t>
      </w:r>
      <w:r>
        <w:t xml:space="preserve">— the empirical value of ν is now in the range 10⁻³ to 10⁻², not the v2 nominal 10⁻³. Every chain element downstream of RVM (cascade timing, GFT condensate prediction, baryogenesis efficiency) carries this uncertainty. The v2 claim</w:t>
      </w:r>
      <w:r>
        <w:t xml:space="preserve"> </w:t>
      </w:r>
      <w:r>
        <w:t xml:space="preserve">“</w:t>
      </w:r>
      <w:r>
        <w:t xml:space="preserve">RVM ν is the IR fixed-point output of TGFT-RG</w:t>
      </w:r>
      <w:r>
        <w:t xml:space="preserve">”</w:t>
      </w:r>
      <w:r>
        <w:t xml:space="preserve"> </w:t>
      </w:r>
      <w:r>
        <w:t xml:space="preserve">survives in form but loses its specific numerical commitment.</w:t>
      </w:r>
    </w:p>
    <w:p>
      <w:pPr>
        <w:pStyle w:val="BodyText"/>
      </w:pPr>
      <w:r>
        <w:rPr>
          <w:bCs/>
          <w:b/>
        </w:rPr>
        <w:t xml:space="preserve">TGFT-RG (1.9)</w:t>
      </w:r>
      <w:r>
        <w:t xml:space="preserve"> </w:t>
      </w:r>
      <w:r>
        <w:t xml:space="preserve">— the layer remains structurally important because the cascade-stage interpretation requires it, but the P22 convergence prediction cannot be evaluated until the Bahr–Steinhaus stage-by-stage implementation is run.</w:t>
      </w:r>
    </w:p>
    <w:p>
      <w:pPr>
        <w:pStyle w:val="BodyText"/>
      </w:pPr>
      <w:r>
        <w:rPr>
          <w:bCs/>
          <w:b/>
        </w:rPr>
        <w:t xml:space="preserve">AQN (1.5)</w:t>
      </w:r>
      <w:r>
        <w:t xml:space="preserve"> </w:t>
      </w:r>
      <w:r>
        <w:t xml:space="preserve">— the v2 demotion of AQN (k_eff = 1/6 constrains Ω₄ only, not the count of sectors) is unaffected by the first-round tests. AQN remains the mechanism for the lightest cascade residue.</w:t>
      </w:r>
    </w:p>
    <w:p>
      <w:pPr>
        <w:pStyle w:val="BodyText"/>
      </w:pPr>
      <w:r>
        <w:rPr>
          <w:bCs/>
          <w:b/>
        </w:rPr>
        <w:t xml:space="preserve">DA/O (1.10)</w:t>
      </w:r>
      <w:r>
        <w:t xml:space="preserve"> </w:t>
      </w:r>
      <w:r>
        <w:t xml:space="preserve">— the v2 demotion (upper bound N ≤ 11, not derivation of N = 6) is unaffected. P24 cross-check on the gauge group at the final stage remains valid.</w:t>
      </w:r>
    </w:p>
    <w:p>
      <w:pPr>
        <w:pStyle w:val="BodyText"/>
      </w:pPr>
      <w:r>
        <w:rPr>
          <w:bCs/>
          <w:b/>
        </w:rPr>
        <w:t xml:space="preserve">HaPPY (1.11)</w:t>
      </w:r>
      <w:r>
        <w:t xml:space="preserve"> </w:t>
      </w:r>
      <w:r>
        <w:t xml:space="preserve">— restricted to k = 4 in v2; first-round tests do not affect this layer.</w:t>
      </w:r>
    </w:p>
    <w:p>
      <w:pPr>
        <w:pStyle w:val="BodyText"/>
      </w:pPr>
      <w:r>
        <w:rPr>
          <w:bCs/>
          <w:b/>
        </w:rPr>
        <w:t xml:space="preserve">Other frameworks (LGT, AS, SSM, CDT, TN, GFT+EPRL, CCDR)</w:t>
      </w:r>
      <w:r>
        <w:t xml:space="preserve"> </w:t>
      </w:r>
      <w:r>
        <w:t xml:space="preserve">— roles unchanged from v2.</w:t>
      </w:r>
    </w:p>
    <w:bookmarkEnd w:id="22"/>
    <w:bookmarkStart w:id="23" w:name="effect-on-the-3-alternative-branches"/>
    <w:p>
      <w:pPr>
        <w:pStyle w:val="Heading1"/>
      </w:pPr>
      <w:r>
        <w:t xml:space="preserve">3. Effect on the 3 Alternative Branches</w:t>
      </w:r>
    </w:p>
    <w:p>
      <w:pPr>
        <w:pStyle w:val="FirstParagraph"/>
      </w:pPr>
      <w:r>
        <w:t xml:space="preserve">Branch architecture is unchanged. Note that the §6.1 local a₀ confirmation tightens the EG ↔ CDT+TN branch: if the cascade interpretation were rejected and EG promoted to primary, EG would still need to reproduce the Milgrom value, which it does — so the branch remains a viable fallback.</w:t>
      </w:r>
    </w:p>
    <w:bookmarkEnd w:id="23"/>
    <w:bookmarkStart w:id="24" w:name="effect-on-the-6-resolution-paths"/>
    <w:p>
      <w:pPr>
        <w:pStyle w:val="Heading1"/>
      </w:pPr>
      <w:r>
        <w:t xml:space="preserve">4. Effect on the 6 Resolution Paths</w:t>
      </w:r>
    </w:p>
    <w:p>
      <w:pPr>
        <w:pStyle w:val="FirstParagraph"/>
      </w:pPr>
      <w:r>
        <w:t xml:space="preserve">Unchanged in structure. The ν audit (current blocker) is not a resolution-path question — it is a code-audit question that resolution paths cannot help with.</w:t>
      </w:r>
      <w:r>
        <w:t xml:space="preserve"> </w:t>
      </w:r>
      <w:r>
        <w:rPr>
          <w:bCs/>
          <w:b/>
        </w:rPr>
        <w:t xml:space="preserve">Path 1 (Swampland → cascade timing)</w:t>
      </w:r>
      <w:r>
        <w:t xml:space="preserve"> </w:t>
      </w:r>
      <w:r>
        <w:t xml:space="preserve">and</w:t>
      </w:r>
      <w:r>
        <w:t xml:space="preserve"> </w:t>
      </w:r>
      <w:r>
        <w:rPr>
          <w:bCs/>
          <w:b/>
        </w:rPr>
        <w:t xml:space="preserve">Path 6 (stage-by-stage Bahr–Steinhaus)</w:t>
      </w:r>
      <w:r>
        <w:t xml:space="preserve"> </w:t>
      </w:r>
      <w:r>
        <w:t xml:space="preserve">both depend on a converged value of ν and are therefore on hold until the audit completes.</w:t>
      </w:r>
    </w:p>
    <w:bookmarkEnd w:id="24"/>
    <w:bookmarkStart w:id="25" w:name="layered-falsifiability-updated"/>
    <w:p>
      <w:pPr>
        <w:pStyle w:val="Heading1"/>
      </w:pPr>
      <w:r>
        <w:t xml:space="preserve">5. Layered Falsifiability — Updated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v2</w:t>
            </w:r>
          </w:p>
        </w:tc>
        <w:tc>
          <w:tcPr/>
          <w:p>
            <w:pPr>
              <w:pStyle w:val="Compact"/>
              <w:jc w:val="left"/>
            </w:pPr>
            <w:r>
              <w:t xml:space="preserve">v2.1</w:t>
            </w:r>
          </w:p>
        </w:tc>
      </w:tr>
      <w:tr>
        <w:tc>
          <w:tcPr/>
          <w:p>
            <w:pPr>
              <w:pStyle w:val="Compact"/>
              <w:jc w:val="left"/>
            </w:pPr>
            <w:r>
              <w:t xml:space="preserve">0 (CDT + cascade core)</w:t>
            </w:r>
          </w:p>
        </w:tc>
        <w:tc>
          <w:tcPr/>
          <w:p>
            <w:pPr>
              <w:pStyle w:val="Compact"/>
              <w:jc w:val="left"/>
            </w:pPr>
            <w:r>
              <w:t xml:space="preserve">Untested</w:t>
            </w:r>
          </w:p>
        </w:tc>
        <w:tc>
          <w:tcPr/>
          <w:p>
            <w:pPr>
              <w:pStyle w:val="Compact"/>
              <w:jc w:val="left"/>
            </w:pPr>
            <w:r>
              <w:rPr>
                <w:bCs/>
                <w:b/>
              </w:rPr>
              <w:t xml:space="preserve">Untested</w:t>
            </w:r>
            <w:r>
              <w:t xml:space="preserve"> </w:t>
            </w:r>
            <w:r>
              <w:t xml:space="preserve">(DM mass reach insufficient)</w:t>
            </w:r>
          </w:p>
        </w:tc>
      </w:tr>
      <w:tr>
        <w:tc>
          <w:tcPr/>
          <w:p>
            <w:pPr>
              <w:pStyle w:val="Compact"/>
              <w:jc w:val="left"/>
            </w:pPr>
            <w:r>
              <w:t xml:space="preserve">1 (GFT + TGFT-RG)</w:t>
            </w:r>
          </w:p>
        </w:tc>
        <w:tc>
          <w:tcPr/>
          <w:p>
            <w:pPr>
              <w:pStyle w:val="Compact"/>
              <w:jc w:val="left"/>
            </w:pPr>
            <w:r>
              <w:t xml:space="preserve">Untested</w:t>
            </w:r>
          </w:p>
        </w:tc>
        <w:tc>
          <w:tcPr/>
          <w:p>
            <w:pPr>
              <w:pStyle w:val="Compact"/>
              <w:jc w:val="left"/>
            </w:pPr>
            <w:r>
              <w:rPr>
                <w:bCs/>
                <w:b/>
              </w:rPr>
              <w:t xml:space="preserve">Audit pending</w:t>
            </w:r>
            <w:r>
              <w:t xml:space="preserve"> </w:t>
            </w:r>
            <w:r>
              <w:t xml:space="preserve">(ν disagreement)</w:t>
            </w:r>
          </w:p>
        </w:tc>
      </w:tr>
      <w:tr>
        <w:tc>
          <w:tcPr/>
          <w:p>
            <w:pPr>
              <w:pStyle w:val="Compact"/>
              <w:jc w:val="left"/>
            </w:pPr>
            <w:r>
              <w:t xml:space="preserve">2 (TN + HaPPY)</w:t>
            </w:r>
          </w:p>
        </w:tc>
        <w:tc>
          <w:tcPr/>
          <w:p>
            <w:pPr>
              <w:pStyle w:val="Compact"/>
              <w:jc w:val="left"/>
            </w:pPr>
            <w:r>
              <w:t xml:space="preserve">Untested</w:t>
            </w:r>
          </w:p>
        </w:tc>
        <w:tc>
          <w:tcPr/>
          <w:p>
            <w:pPr>
              <w:pStyle w:val="Compact"/>
              <w:jc w:val="left"/>
            </w:pPr>
            <w:r>
              <w:t xml:space="preserve">Untested</w:t>
            </w:r>
          </w:p>
        </w:tc>
      </w:tr>
      <w:tr>
        <w:tc>
          <w:tcPr/>
          <w:p>
            <w:pPr>
              <w:pStyle w:val="Compact"/>
              <w:jc w:val="left"/>
            </w:pPr>
            <w:r>
              <w:t xml:space="preserve">3 (SSM + AS + DA/O)</w:t>
            </w:r>
          </w:p>
        </w:tc>
        <w:tc>
          <w:tcPr/>
          <w:p>
            <w:pPr>
              <w:pStyle w:val="Compact"/>
              <w:jc w:val="left"/>
            </w:pPr>
            <w:r>
              <w:t xml:space="preserve">Untested</w:t>
            </w:r>
          </w:p>
        </w:tc>
        <w:tc>
          <w:tcPr/>
          <w:p>
            <w:pPr>
              <w:pStyle w:val="Compact"/>
              <w:jc w:val="left"/>
            </w:pPr>
            <w:r>
              <w:t xml:space="preserve">Consistent with first-round data</w:t>
            </w:r>
          </w:p>
        </w:tc>
      </w:tr>
      <w:tr>
        <w:tc>
          <w:tcPr/>
          <w:p>
            <w:pPr>
              <w:pStyle w:val="Compact"/>
              <w:jc w:val="left"/>
            </w:pPr>
            <w:r>
              <w:t xml:space="preserve">4 (RVM + CCDR)</w:t>
            </w:r>
          </w:p>
        </w:tc>
        <w:tc>
          <w:tcPr/>
          <w:p>
            <w:pPr>
              <w:pStyle w:val="Compact"/>
              <w:jc w:val="left"/>
            </w:pPr>
            <w:r>
              <w:t xml:space="preserve">Untested</w:t>
            </w:r>
          </w:p>
        </w:tc>
        <w:tc>
          <w:tcPr/>
          <w:p>
            <w:pPr>
              <w:pStyle w:val="Compact"/>
              <w:jc w:val="left"/>
            </w:pPr>
            <w:r>
              <w:rPr>
                <w:bCs/>
                <w:b/>
              </w:rPr>
              <w:t xml:space="preserve">Partially confirmed</w:t>
            </w:r>
            <w:r>
              <w:t xml:space="preserve"> </w:t>
            </w:r>
            <w:r>
              <w:t xml:space="preserve">(P3 at 17.8σ; local a₀)</w:t>
            </w:r>
          </w:p>
        </w:tc>
      </w:tr>
      <w:tr>
        <w:tc>
          <w:tcPr/>
          <w:p>
            <w:pPr>
              <w:pStyle w:val="Compact"/>
              <w:jc w:val="left"/>
            </w:pPr>
            <w:r>
              <w:t xml:space="preserve">5 (baryogenesis)</w:t>
            </w:r>
          </w:p>
        </w:tc>
        <w:tc>
          <w:tcPr/>
          <w:p>
            <w:pPr>
              <w:pStyle w:val="Compact"/>
              <w:jc w:val="left"/>
            </w:pPr>
            <w:r>
              <w:t xml:space="preserve">Untested</w:t>
            </w:r>
          </w:p>
        </w:tc>
        <w:tc>
          <w:tcPr/>
          <w:p>
            <w:pPr>
              <w:pStyle w:val="Compact"/>
              <w:jc w:val="left"/>
            </w:pPr>
            <w:r>
              <w:t xml:space="preserve">Untested</w:t>
            </w:r>
          </w:p>
        </w:tc>
      </w:tr>
    </w:tbl>
    <w:p>
      <w:pPr>
        <w:pStyle w:val="BodyText"/>
      </w:pPr>
      <w:r>
        <w:rPr>
          <w:bCs/>
          <w:b/>
        </w:rPr>
        <w:t xml:space="preserve">No layer is falsified by the first round.</w:t>
      </w:r>
      <w:r>
        <w:t xml:space="preserve"> </w:t>
      </w:r>
      <w:r>
        <w:t xml:space="preserve">The two falsified predictions (P9a, P9c) were CERN-side phenomenological extensions, not part of the layered hard core; their removal has no consequence for the layer architecture.</w:t>
      </w:r>
    </w:p>
    <w:bookmarkEnd w:id="25"/>
    <w:bookmarkStart w:id="26" w:name="open-problems-after-round-1"/>
    <w:p>
      <w:pPr>
        <w:pStyle w:val="Heading1"/>
      </w:pPr>
      <w:r>
        <w:t xml:space="preserve">6. Open Problems After Round 1</w:t>
      </w:r>
    </w:p>
    <w:p>
      <w:pPr>
        <w:pStyle w:val="FirstParagraph"/>
      </w:pPr>
      <w:r>
        <w:rPr>
          <w:bCs/>
          <w:b/>
        </w:rPr>
        <w:t xml:space="preserve">6.1 The ν pipeline audit.</w:t>
      </w:r>
      <w:r>
        <w:t xml:space="preserve"> </w:t>
      </w:r>
      <w:r>
        <w:t xml:space="preserve">Two scripts return ν = 0.00116 ± 0.00098 (P01) and ν = 0.0092 ± 0.0008 (T01) on nominally the same data. The differences are: (a) P01 uses a hard-coded Planck distance-prior block, T01 uses a chain-derived Planck PR3 prior; (b) P01 hard-codes a legacy BAO table, T01 uses the public DESI DR2 covariance; (c) P01 fixes z*, r_d, ω_b and omits radiation in E(z); T01 carries them; (d) P01 analytically marginalises the SN intercept, T01 uses calibrated distances with z_helio. The audit identifies the differences but does not say which is correct.</w:t>
      </w:r>
      <w:r>
        <w:t xml:space="preserve"> </w:t>
      </w:r>
      <w:r>
        <w:rPr>
          <w:bCs/>
          <w:b/>
        </w:rPr>
        <w:t xml:space="preserve">Resolving this is the first urgent task for round 2.</w:t>
      </w:r>
    </w:p>
    <w:p>
      <w:pPr>
        <w:pStyle w:val="BodyText"/>
      </w:pPr>
      <w:r>
        <w:rPr>
          <w:bCs/>
          <w:b/>
        </w:rPr>
        <w:t xml:space="preserve">6.2 Test 02 detrending.</w:t>
      </w:r>
      <w:r>
        <w:t xml:space="preserve"> </w:t>
      </w:r>
      <w:r>
        <w:t xml:space="preserve">The multi-harmonic w(z) signal is currently degenerate with a non-stationary trend in the spline fit. Refitting with an oscillation-only basis is required before P7-extended can be promoted to confirmed.</w:t>
      </w:r>
    </w:p>
    <w:p>
      <w:pPr>
        <w:pStyle w:val="BodyText"/>
      </w:pPr>
      <w:r>
        <w:rPr>
          <w:bCs/>
          <w:b/>
        </w:rPr>
        <w:t xml:space="preserve">6.3 Direct-detection mass reach.</w:t>
      </w:r>
      <w:r>
        <w:t xml:space="preserve"> </w:t>
      </w:r>
      <w:r>
        <w:t xml:space="preserve">Current XENONnT/LZ/PandaX-4T data exclude a second peak only below 12 GeV, far below the predicted ~TeV scale. The v2 hard core (P25/P27) cannot be tested without higher-mass reach.</w:t>
      </w:r>
    </w:p>
    <w:bookmarkEnd w:id="26"/>
    <w:bookmarkStart w:id="27" w:name="conclusion"/>
    <w:p>
      <w:pPr>
        <w:pStyle w:val="Heading1"/>
      </w:pPr>
      <w:r>
        <w:t xml:space="preserve">7. Conclusion</w:t>
      </w:r>
    </w:p>
    <w:p>
      <w:pPr>
        <w:pStyle w:val="FirstParagraph"/>
      </w:pPr>
      <w:r>
        <w:t xml:space="preserve">The first-round test campaign delivered three confirmations or strong supports (filament alignment at 17.8σ, local a₀ at Milgrom, multi-harmonic w(z) with audit pending), two clean falsifications of CERN-side decorations (P9a, P9c), and one urgent unresolved disagreement on the central numerical parameter ν. No layer of the 12 + 3 + 6 architecture is destabilised. The hard core (cascade DM peak counting) remains untested but for sensitivity reasons rather than structural ones. The synthesis is in better empirical shape than v2 nominally claimed — three measured signals to point to — and in worse rhetorical shape, because the headline ν = 10⁻³ is no longer defensible as a precise prediction.</w:t>
      </w:r>
    </w:p>
    <w:p>
      <w:pPr>
        <w:pStyle w:val="BodyText"/>
      </w:pPr>
      <w:r>
        <w:t xml:space="preserve">Round 2 should: (1) close the ν audit; (2) re-run Test 02 with detrending; (3) extend Test 11 to an independent filament catalogue (DisPerSE on SDSS DR16); (4) wait for the next direct-detection release.</w:t>
      </w:r>
    </w:p>
    <w:bookmarkEnd w:id="27"/>
    <w:bookmarkStart w:id="28" w:name="references"/>
    <w:p>
      <w:pPr>
        <w:pStyle w:val="Heading1"/>
      </w:pPr>
      <w:r>
        <w:t xml:space="preserve">References</w:t>
      </w:r>
    </w:p>
    <w:p>
      <w:pPr>
        <w:pStyle w:val="FirstParagraph"/>
      </w:pPr>
      <w:r>
        <w:t xml:space="preserve">As in v2, plus all eleven first-round test specifications.</w:t>
      </w:r>
    </w:p>
    <w:p>
      <w:r>
        <w:pict>
          <v:rect style="width:0;height:1.5pt" o:hralign="center" o:hrstd="t" o:hr="t"/>
        </w:pict>
      </w:r>
    </w:p>
    <w:p>
      <w:pPr>
        <w:pStyle w:val="FirstParagraph"/>
      </w:pPr>
      <w:r>
        <w:rPr>
          <w:iCs/>
          <w:i/>
        </w:rPr>
        <w:t xml:space="preserve">Manuscript prepared for double-blind peer review.</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Extended Crystallographic Synthesis (v2.1)</dc:title>
  <dc:creator>[Author names withheld]</dc:creator>
  <cp:keywords/>
  <dcterms:created xsi:type="dcterms:W3CDTF">2026-04-11T09:15:32Z</dcterms:created>
  <dcterms:modified xsi:type="dcterms:W3CDTF">2026-04-11T09:15:32Z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12 + 3 + 6, aligned with CCDR v6.1, with First-Round Test Results</vt:lpwstr>
  </property>
</Properties>
</file>