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The CDT–CCDR–TN Synthesis:</w:t>
      </w:r>
    </w:p>
    <w:p>
      <w:pPr>
        <w:spacing w:after="60"/>
        <w:jc w:val="center"/>
      </w:pPr>
      <w:r>
        <w:rPr>
          <w:rFonts w:ascii="Cambria" w:cs="Cambria" w:eastAsia="Cambria" w:hAnsi="Cambria"/>
          <w:b/>
          <w:bCs/>
          <w:sz w:val="30"/>
          <w:szCs w:val="30"/>
        </w:rPr>
        <w:t xml:space="preserve">Emergent Holography from Simplicial Entanglement</w:t>
      </w:r>
    </w:p>
    <w:p>
      <w:pPr>
        <w:spacing w:after="40"/>
      </w:pPr>
    </w:p>
    <w:p>
      <w:pPr>
        <w:spacing w:after="60"/>
        <w:jc w:val="center"/>
      </w:pPr>
      <w:r>
        <w:rPr>
          <w:rFonts w:ascii="Cambria" w:cs="Cambria" w:eastAsia="Cambria" w:hAnsi="Cambria"/>
          <w:i/>
          <w:iCs/>
          <w:sz w:val="22"/>
          <w:szCs w:val="22"/>
        </w:rPr>
        <w:t xml:space="preserve">Tensor Networks as an Effective Description of CDT Entanglement Structure,</w:t>
      </w:r>
    </w:p>
    <w:p>
      <w:pPr>
        <w:spacing w:after="60"/>
        <w:jc w:val="center"/>
      </w:pPr>
      <w:r>
        <w:rPr>
          <w:rFonts w:ascii="Cambria" w:cs="Cambria" w:eastAsia="Cambria" w:hAnsi="Cambria"/>
          <w:i/>
          <w:iCs/>
          <w:sz w:val="22"/>
          <w:szCs w:val="22"/>
        </w:rPr>
        <w:t xml:space="preserve">with the 1/4 Coefficient as a Renormalisation Group Fixed Point</w:t>
      </w:r>
    </w:p>
    <w:p>
      <w:pPr>
        <w:spacing w:after="60"/>
        <w:jc w:val="center"/>
      </w:pPr>
      <w:r>
        <w:rPr>
          <w:rFonts w:ascii="Cambria" w:cs="Cambria" w:eastAsia="Cambria" w:hAnsi="Cambria"/>
          <w:i/>
          <w:iCs/>
          <w:sz w:val="22"/>
          <w:szCs w:val="22"/>
        </w:rPr>
        <w:t xml:space="preserve">[Author names withheld] · March 2026</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the CDT–CCDR–TN synthesis in which tensor network (TN) structures </w:t>
      </w:r>
      <w:r>
        <w:rPr>
          <w:rFonts w:ascii="Cambria" w:cs="Cambria" w:eastAsia="Cambria" w:hAnsi="Cambria"/>
          <w:i/>
          <w:iCs/>
          <w:sz w:val="22"/>
          <w:szCs w:val="22"/>
        </w:rPr>
        <w:t xml:space="preserve">emerge from</w:t>
      </w:r>
      <w:r>
        <w:rPr>
          <w:rFonts w:ascii="Cambria" w:cs="Cambria" w:eastAsia="Cambria" w:hAnsi="Cambria"/>
          <w:sz w:val="22"/>
          <w:szCs w:val="22"/>
        </w:rPr>
        <w:t xml:space="preserve"> Causal Dynamical Triangulations (CDT) in the semiclassical regime, rather than being postulated as fundamental. The CDT path integral induces an ensemble of geometries weighted by the Regge action, P(T) ∝ exp(−S_Regge). In the large-complexity limit, this ensemble self-averages and admits an effective tensor network description in which the Ryu–Takayanagi formula emerges from minimal cuts. The Bekenstein–Hawking coefficient 1/4 is not inserted by hand but emerges as a renormalisation group fixed point of the effective bond dimension: D_eff(μ) flows under coarse-graining and reaches D* = e^{1/4} at the infrared fixed point. This is a calculable prediction, not an assumption — measurable from CDT simulations via ⟨S_Regge(face)⟩. Dimensional reduction is identified with an entanglement phase transition where the CCDR order parameter χ = S_bulk/(A/4G) saturates. The CDT A → C transition (Big Bang) corresponds to volume-law → area-law entanglement reorganisation. Seven predictions are specific to the synthesis, including an entanglement area law test in 3D CDT and a spectral dimension oscillation test (T1).</w:t>
      </w:r>
    </w:p>
    <w:p>
      <w:pPr>
        <w:pStyle w:val="Heading1"/>
        <w:spacing w:before="320" w:after="160"/>
      </w:pPr>
      <w:r>
        <w:rPr>
          <w:rFonts w:ascii="Cambria" w:cs="Cambria" w:eastAsia="Cambria" w:hAnsi="Cambria"/>
          <w:b/>
          <w:bCs/>
          <w:sz w:val="26"/>
          <w:szCs w:val="26"/>
        </w:rPr>
        <w:t xml:space="preserve">1. Introduction: Three Layers, One Framework</w:t>
      </w:r>
    </w:p>
    <w:p>
      <w:pPr>
        <w:spacing w:after="100" w:line="264"/>
        <w:jc w:val="both"/>
      </w:pPr>
      <w:r>
        <w:rPr>
          <w:rFonts w:ascii="Cambria" w:cs="Cambria" w:eastAsia="Cambria" w:hAnsi="Cambria"/>
          <w:sz w:val="22"/>
          <w:szCs w:val="22"/>
        </w:rPr>
        <w:t xml:space="preserve">The CDT–CCDR–TN synthesis assigns each component a distinct, non-overlapping role:</w:t>
      </w:r>
    </w:p>
    <w:p>
      <w:pPr>
        <w:spacing w:after="100" w:line="264"/>
        <w:jc w:val="both"/>
      </w:pPr>
      <w:r>
        <w:rPr>
          <w:rFonts w:ascii="Cambria" w:cs="Cambria" w:eastAsia="Cambria" w:hAnsi="Cambria"/>
          <w:b/>
          <w:bCs/>
          <w:sz w:val="22"/>
          <w:szCs w:val="22"/>
        </w:rPr>
        <w:t xml:space="preserve">CCDR (principle): </w:t>
      </w:r>
      <w:r>
        <w:rPr>
          <w:rFonts w:ascii="Cambria" w:cs="Cambria" w:eastAsia="Cambria" w:hAnsi="Cambria"/>
          <w:sz w:val="22"/>
          <w:szCs w:val="22"/>
        </w:rPr>
        <w:t xml:space="preserve">Defines the information-theoretic constraint χ = S_bulk/(A/4G) ≤ 1 and the consequence of its saturation (dimensional reduction). CCDR does not specify the microscopic dynamics or the nature of entropy.</w:t>
      </w:r>
    </w:p>
    <w:p>
      <w:pPr>
        <w:spacing w:after="100" w:line="264"/>
        <w:jc w:val="both"/>
      </w:pPr>
      <w:r>
        <w:rPr>
          <w:rFonts w:ascii="Cambria" w:cs="Cambria" w:eastAsia="Cambria" w:hAnsi="Cambria"/>
          <w:b/>
          <w:bCs/>
          <w:sz w:val="22"/>
          <w:szCs w:val="22"/>
        </w:rPr>
        <w:t xml:space="preserve">CDT (dynamics): </w:t>
      </w:r>
      <w:r>
        <w:rPr>
          <w:rFonts w:ascii="Cambria" w:cs="Cambria" w:eastAsia="Cambria" w:hAnsi="Cambria"/>
          <w:sz w:val="22"/>
          <w:szCs w:val="22"/>
        </w:rPr>
        <w:t xml:space="preserve">Provides the microscopic ensemble of spacetime geometries via the simplicial path integral Z = Σ_T exp(−S_Regge). CDT defines what spacetime is made of (simplices), how it evolves (Metropolis dynamics), and what phases exist (A, B, C, C_b). Gravity emerges as the long-wavelength collective behaviour. CDT does not by itself define entanglement entropy.</w:t>
      </w:r>
    </w:p>
    <w:p>
      <w:pPr>
        <w:spacing w:after="100" w:line="264"/>
        <w:jc w:val="both"/>
      </w:pPr>
      <w:r>
        <w:rPr>
          <w:rFonts w:ascii="Cambria" w:cs="Cambria" w:eastAsia="Cambria" w:hAnsi="Cambria"/>
          <w:b/>
          <w:bCs/>
          <w:sz w:val="22"/>
          <w:szCs w:val="22"/>
        </w:rPr>
        <w:t xml:space="preserve">TN (emergent description): </w:t>
      </w:r>
      <w:r>
        <w:rPr>
          <w:rFonts w:ascii="Cambria" w:cs="Cambria" w:eastAsia="Cambria" w:hAnsi="Cambria"/>
          <w:sz w:val="22"/>
          <w:szCs w:val="22"/>
        </w:rPr>
        <w:t xml:space="preserve">Tensor network structures emerge from CDT when the simplicial path integral is coarse-grained. They provide an effective definition of entanglement entropy (via minimal cuts), explain why entropy scales with area (area law from local entanglement structure), and render the CCDR condition operational. TN are </w:t>
      </w:r>
      <w:r>
        <w:rPr>
          <w:rFonts w:ascii="Cambria" w:cs="Cambria" w:eastAsia="Cambria" w:hAnsi="Cambria"/>
          <w:i/>
          <w:iCs/>
          <w:sz w:val="22"/>
          <w:szCs w:val="22"/>
        </w:rPr>
        <w:t xml:space="preserve">not</w:t>
      </w:r>
      <w:r>
        <w:rPr>
          <w:rFonts w:ascii="Cambria" w:cs="Cambria" w:eastAsia="Cambria" w:hAnsi="Cambria"/>
          <w:sz w:val="22"/>
          <w:szCs w:val="22"/>
        </w:rPr>
        <w:t xml:space="preserve"> postulated as fundamental and are </w:t>
      </w:r>
      <w:r>
        <w:rPr>
          <w:rFonts w:ascii="Cambria" w:cs="Cambria" w:eastAsia="Cambria" w:hAnsi="Cambria"/>
          <w:i/>
          <w:iCs/>
          <w:sz w:val="22"/>
          <w:szCs w:val="22"/>
        </w:rPr>
        <w:t xml:space="preserve">not</w:t>
      </w:r>
      <w:r>
        <w:rPr>
          <w:rFonts w:ascii="Cambria" w:cs="Cambria" w:eastAsia="Cambria" w:hAnsi="Cambria"/>
          <w:sz w:val="22"/>
          <w:szCs w:val="22"/>
        </w:rPr>
        <w:t xml:space="preserve"> equivalent to CDT — they are an effective description valid in phases with semiclassical geometry (CDT Phase C).</w:t>
      </w:r>
    </w:p>
    <w:p>
      <w:pPr>
        <w:pStyle w:val="Heading1"/>
        <w:spacing w:before="320" w:after="160"/>
      </w:pPr>
      <w:r>
        <w:rPr>
          <w:rFonts w:ascii="Cambria" w:cs="Cambria" w:eastAsia="Cambria" w:hAnsi="Cambria"/>
          <w:b/>
          <w:bCs/>
          <w:sz w:val="26"/>
          <w:szCs w:val="26"/>
        </w:rPr>
        <w:t xml:space="preserve">2. CDT Induces a Tensor Network Ensemble</w:t>
      </w:r>
    </w:p>
    <w:p>
      <w:pPr>
        <w:pStyle w:val="Heading2"/>
        <w:spacing w:before="240" w:after="120"/>
      </w:pPr>
      <w:r>
        <w:rPr>
          <w:rFonts w:ascii="Cambria" w:cs="Cambria" w:eastAsia="Cambria" w:hAnsi="Cambria"/>
          <w:b/>
          <w:bCs/>
          <w:i/>
          <w:iCs/>
          <w:sz w:val="23"/>
          <w:szCs w:val="23"/>
        </w:rPr>
        <w:t xml:space="preserve">2.1 The Weighted Ensemble (Not Random Tensors)</w:t>
      </w:r>
    </w:p>
    <w:p>
      <w:pPr>
        <w:spacing w:after="100" w:line="264"/>
        <w:jc w:val="both"/>
      </w:pPr>
      <w:r>
        <w:rPr>
          <w:rFonts w:ascii="Cambria" w:cs="Cambria" w:eastAsia="Cambria" w:hAnsi="Cambria"/>
          <w:sz w:val="22"/>
          <w:szCs w:val="22"/>
        </w:rPr>
        <w:t xml:space="preserve">The CDT path integral sums over causal triangulations T weighted by the Regge action:</w:t>
      </w:r>
    </w:p>
    <w:p>
      <w:pPr>
        <w:spacing w:before="140" w:after="140"/>
        <w:ind w:left="480"/>
      </w:pPr>
      <w:r>
        <w:rPr>
          <w:rFonts w:ascii="Cambria Math" w:cs="Cambria Math" w:eastAsia="Cambria Math" w:hAnsi="Cambria Math"/>
          <w:i/>
          <w:iCs/>
          <w:sz w:val="22"/>
          <w:szCs w:val="22"/>
        </w:rPr>
        <w:t xml:space="preserve">P(T) ∝ exp(−S_Regge[T])</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This defines a probability distribution over geometries — a weighted ensemble, not a set of random tensors. The distinction matters: the Hayden–Nezami–Qi–Thomas–Walter–Yang (HNQTWY) theorem for random tensor networks requires specific independence and randomness conditions that CDT does not obviously satisfy.</w:t>
      </w:r>
    </w:p>
    <w:p>
      <w:pPr>
        <w:spacing w:after="100" w:line="264"/>
        <w:jc w:val="both"/>
      </w:pPr>
      <w:r>
        <w:rPr>
          <w:rFonts w:ascii="Cambria" w:cs="Cambria" w:eastAsia="Cambria" w:hAnsi="Cambria"/>
          <w:sz w:val="22"/>
          <w:szCs w:val="22"/>
        </w:rPr>
        <w:t xml:space="preserve">Instead, we argue that CDT satisfies the theorem’s conclusions (entanglement entropy ~ minimal cut) through a different mechanism: </w:t>
      </w:r>
      <w:r>
        <w:rPr>
          <w:rFonts w:ascii="Cambria" w:cs="Cambria" w:eastAsia="Cambria" w:hAnsi="Cambria"/>
          <w:b/>
          <w:bCs/>
          <w:sz w:val="22"/>
          <w:szCs w:val="22"/>
        </w:rPr>
        <w:t xml:space="preserve">self-averaging in the large-complexity limit</w:t>
      </w:r>
      <w:r>
        <w:rPr>
          <w:rFonts w:ascii="Cambria" w:cs="Cambria" w:eastAsia="Cambria" w:hAnsi="Cambria"/>
          <w:sz w:val="22"/>
          <w:szCs w:val="22"/>
        </w:rPr>
        <w:t xml:space="preserve">. When the number of simplices N₄ → ∞, the CDT ensemble becomes dominated by typical configurations whose entanglement structure converges to the HNQTWY prediction, even though individual configurations are not random. This is analogous to how the free energy of a spin glass self-averages even though each disorder realisation is not independently random.</w:t>
      </w:r>
    </w:p>
    <w:p>
      <w:pPr>
        <w:pStyle w:val="Heading2"/>
        <w:spacing w:before="240" w:after="120"/>
      </w:pPr>
      <w:r>
        <w:rPr>
          <w:rFonts w:ascii="Cambria" w:cs="Cambria" w:eastAsia="Cambria" w:hAnsi="Cambria"/>
          <w:b/>
          <w:bCs/>
          <w:i/>
          <w:iCs/>
          <w:sz w:val="23"/>
          <w:szCs w:val="23"/>
        </w:rPr>
        <w:t xml:space="preserve">2.2 The Effective Bond Dimension</w:t>
      </w:r>
    </w:p>
    <w:p>
      <w:pPr>
        <w:spacing w:after="100" w:line="264"/>
        <w:jc w:val="both"/>
      </w:pPr>
      <w:r>
        <w:rPr>
          <w:rFonts w:ascii="Cambria" w:cs="Cambria" w:eastAsia="Cambria" w:hAnsi="Cambria"/>
          <w:sz w:val="22"/>
          <w:szCs w:val="22"/>
        </w:rPr>
        <w:t xml:space="preserve">Each simplex face in a CDT triangulation can be in one of D geometric states (determined by the allowed edge lengths and curvature assignments). The effective bond dimension D_eff is not a fixed number but a scale-dependent quantity that runs under coarse-graining:</w:t>
      </w:r>
    </w:p>
    <w:p>
      <w:pPr>
        <w:spacing w:before="140" w:after="140"/>
        <w:ind w:left="480"/>
      </w:pPr>
      <w:r>
        <w:rPr>
          <w:rFonts w:ascii="Cambria Math" w:cs="Cambria Math" w:eastAsia="Cambria Math" w:hAnsi="Cambria Math"/>
          <w:i/>
          <w:iCs/>
          <w:sz w:val="22"/>
          <w:szCs w:val="22"/>
        </w:rPr>
        <w:t xml:space="preserve">D_eff(μ) = exp(⟨S_Regge(face)⟩_μ)</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where ⟨S_Regge(face)⟩_μ is the average Regge action per face at coarse-graining scale μ. At the UV (Planck scale), D_eff is large (many geometric states per face). Under RG flow toward the IR, D_eff decreases as geometric degrees of freedom are integrated out.</w:t>
      </w:r>
    </w:p>
    <w:p>
      <w:pPr>
        <w:pStyle w:val="Heading1"/>
        <w:spacing w:before="320" w:after="160"/>
      </w:pPr>
      <w:r>
        <w:rPr>
          <w:rFonts w:ascii="Cambria" w:cs="Cambria" w:eastAsia="Cambria" w:hAnsi="Cambria"/>
          <w:b/>
          <w:bCs/>
          <w:sz w:val="26"/>
          <w:szCs w:val="26"/>
        </w:rPr>
        <w:t xml:space="preserve">3. The 1/4 Coefficient as a Fixed Point</w:t>
      </w:r>
    </w:p>
    <w:p>
      <w:pPr>
        <w:spacing w:after="100" w:line="264"/>
        <w:jc w:val="both"/>
      </w:pPr>
      <w:r>
        <w:rPr>
          <w:rFonts w:ascii="Cambria" w:cs="Cambria" w:eastAsia="Cambria" w:hAnsi="Cambria"/>
          <w:sz w:val="22"/>
          <w:szCs w:val="22"/>
        </w:rPr>
        <w:t xml:space="preserve">The Bekenstein–Hawking entropy S = A/4G requires:</w:t>
      </w:r>
    </w:p>
    <w:p>
      <w:pPr>
        <w:spacing w:before="140" w:after="140"/>
        <w:ind w:left="480"/>
      </w:pPr>
      <w:r>
        <w:rPr>
          <w:rFonts w:ascii="Cambria Math" w:cs="Cambria Math" w:eastAsia="Cambria Math" w:hAnsi="Cambria Math"/>
          <w:i/>
          <w:iCs/>
          <w:sz w:val="22"/>
          <w:szCs w:val="22"/>
        </w:rPr>
        <w:t xml:space="preserve">ln D* = 1/4 (in Planck units)</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We propose that this value is the </w:t>
      </w:r>
      <w:r>
        <w:rPr>
          <w:rFonts w:ascii="Cambria" w:cs="Cambria" w:eastAsia="Cambria" w:hAnsi="Cambria"/>
          <w:b/>
          <w:bCs/>
          <w:sz w:val="22"/>
          <w:szCs w:val="22"/>
        </w:rPr>
        <w:t xml:space="preserve">infrared RG fixed point</w:t>
      </w:r>
      <w:r>
        <w:rPr>
          <w:rFonts w:ascii="Cambria" w:cs="Cambria" w:eastAsia="Cambria" w:hAnsi="Cambria"/>
          <w:sz w:val="22"/>
          <w:szCs w:val="22"/>
        </w:rPr>
        <w:t xml:space="preserve"> of D_eff(μ):</w:t>
      </w:r>
    </w:p>
    <w:p>
      <w:pPr>
        <w:spacing w:before="140" w:after="140"/>
        <w:ind w:left="480"/>
      </w:pPr>
      <w:r>
        <w:rPr>
          <w:rFonts w:ascii="Cambria Math" w:cs="Cambria Math" w:eastAsia="Cambria Math" w:hAnsi="Cambria Math"/>
          <w:i/>
          <w:iCs/>
          <w:sz w:val="22"/>
          <w:szCs w:val="22"/>
        </w:rPr>
        <w:t xml:space="preserve">D_eff(μ) → D* = e^{1/4} as μ → IR</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This is a dynamical prediction, not a circular argument:</w:t>
      </w:r>
    </w:p>
    <w:p>
      <w:pPr>
        <w:spacing w:after="100" w:line="264"/>
        <w:jc w:val="both"/>
      </w:pPr>
      <w:r>
        <w:rPr>
          <w:rFonts w:ascii="Cambria" w:cs="Cambria" w:eastAsia="Cambria" w:hAnsi="Cambria"/>
          <w:b/>
          <w:bCs/>
          <w:sz w:val="22"/>
          <w:szCs w:val="22"/>
        </w:rPr>
        <w:t xml:space="preserve">(a) </w:t>
      </w:r>
      <w:r>
        <w:rPr>
          <w:rFonts w:ascii="Cambria" w:cs="Cambria" w:eastAsia="Cambria" w:hAnsi="Cambria"/>
          <w:sz w:val="22"/>
          <w:szCs w:val="22"/>
        </w:rPr>
        <w:t xml:space="preserve">D_eff(μ) is measurable in CDT simulations by computing ⟨S_Regge(face)⟩ at different coarse-graining scales.</w:t>
      </w:r>
    </w:p>
    <w:p>
      <w:pPr>
        <w:spacing w:after="100" w:line="264"/>
        <w:jc w:val="both"/>
      </w:pPr>
      <w:r>
        <w:rPr>
          <w:rFonts w:ascii="Cambria" w:cs="Cambria" w:eastAsia="Cambria" w:hAnsi="Cambria"/>
          <w:b/>
          <w:bCs/>
          <w:sz w:val="22"/>
          <w:szCs w:val="22"/>
        </w:rPr>
        <w:t xml:space="preserve">(b) </w:t>
      </w:r>
      <w:r>
        <w:rPr>
          <w:rFonts w:ascii="Cambria" w:cs="Cambria" w:eastAsia="Cambria" w:hAnsi="Cambria"/>
          <w:sz w:val="22"/>
          <w:szCs w:val="22"/>
        </w:rPr>
        <w:t xml:space="preserve">If ⟨S_Regge(face)⟩ → 1/4 in the IR, the coefficient is derived.</w:t>
      </w:r>
    </w:p>
    <w:p>
      <w:pPr>
        <w:spacing w:after="100" w:line="264"/>
        <w:jc w:val="both"/>
      </w:pPr>
      <w:r>
        <w:rPr>
          <w:rFonts w:ascii="Cambria" w:cs="Cambria" w:eastAsia="Cambria" w:hAnsi="Cambria"/>
          <w:b/>
          <w:bCs/>
          <w:sz w:val="22"/>
          <w:szCs w:val="22"/>
        </w:rPr>
        <w:t xml:space="preserve">(c) </w:t>
      </w:r>
      <w:r>
        <w:rPr>
          <w:rFonts w:ascii="Cambria" w:cs="Cambria" w:eastAsia="Cambria" w:hAnsi="Cambria"/>
          <w:sz w:val="22"/>
          <w:szCs w:val="22"/>
        </w:rPr>
        <w:t xml:space="preserve">If it converges to a different value, the tensor network identification must be modified.</w:t>
      </w:r>
    </w:p>
    <w:p>
      <w:pPr>
        <w:spacing w:after="100" w:line="264"/>
        <w:jc w:val="both"/>
      </w:pPr>
      <w:r>
        <w:rPr>
          <w:rFonts w:ascii="Cambria" w:cs="Cambria" w:eastAsia="Cambria" w:hAnsi="Cambria"/>
          <w:b/>
          <w:bCs/>
          <w:sz w:val="22"/>
          <w:szCs w:val="22"/>
        </w:rPr>
        <w:t xml:space="preserve">(d) </w:t>
      </w:r>
      <w:r>
        <w:rPr>
          <w:rFonts w:ascii="Cambria" w:cs="Cambria" w:eastAsia="Cambria" w:hAnsi="Cambria"/>
          <w:sz w:val="22"/>
          <w:szCs w:val="22"/>
        </w:rPr>
        <w:t xml:space="preserve">Deviations from 1/4 at finite scales become testable corrections: S(A) = A/(4G) + δ(scale), where δ is a calculable function of D_eff(μ).</w:t>
      </w:r>
    </w:p>
    <w:p>
      <w:pPr>
        <w:spacing w:after="100" w:line="264"/>
        <w:jc w:val="both"/>
      </w:pPr>
      <w:r>
        <w:rPr>
          <w:rFonts w:ascii="Cambria" w:cs="Cambria" w:eastAsia="Cambria" w:hAnsi="Cambria"/>
          <w:sz w:val="22"/>
          <w:szCs w:val="22"/>
        </w:rPr>
        <w:t xml:space="preserve">This transforms the 1/4 from an assumption into a prediction. The prediction is: </w:t>
      </w:r>
      <w:r>
        <w:rPr>
          <w:rFonts w:ascii="Cambria" w:cs="Cambria" w:eastAsia="Cambria" w:hAnsi="Cambria"/>
          <w:b/>
          <w:bCs/>
          <w:sz w:val="22"/>
          <w:szCs w:val="22"/>
        </w:rPr>
        <w:t xml:space="preserve">⟨S_Regge(face)⟩ → 1/4 in the IR limit of CDT C-phase simulations.</w:t>
      </w:r>
    </w:p>
    <w:p>
      <w:pPr>
        <w:pStyle w:val="Heading1"/>
        <w:spacing w:before="320" w:after="160"/>
      </w:pPr>
      <w:r>
        <w:rPr>
          <w:rFonts w:ascii="Cambria" w:cs="Cambria" w:eastAsia="Cambria" w:hAnsi="Cambria"/>
          <w:b/>
          <w:bCs/>
          <w:sz w:val="26"/>
          <w:szCs w:val="26"/>
        </w:rPr>
        <w:t xml:space="preserve">4. The RT Formula from Self-Averaging</w:t>
      </w:r>
    </w:p>
    <w:p>
      <w:pPr>
        <w:spacing w:after="100" w:line="264"/>
        <w:jc w:val="both"/>
      </w:pPr>
      <w:r>
        <w:rPr>
          <w:rFonts w:ascii="Cambria" w:cs="Cambria" w:eastAsia="Cambria" w:hAnsi="Cambria"/>
          <w:sz w:val="22"/>
          <w:szCs w:val="22"/>
        </w:rPr>
        <w:t xml:space="preserve">In the CDT ensemble, the entanglement entropy of a boundary region A is:</w:t>
      </w:r>
    </w:p>
    <w:p>
      <w:pPr>
        <w:spacing w:before="140" w:after="140"/>
        <w:ind w:left="480"/>
      </w:pPr>
      <w:r>
        <w:rPr>
          <w:rFonts w:ascii="Cambria Math" w:cs="Cambria Math" w:eastAsia="Cambria Math" w:hAnsi="Cambria Math"/>
          <w:i/>
          <w:iCs/>
          <w:sz w:val="22"/>
          <w:szCs w:val="22"/>
        </w:rPr>
        <w:t xml:space="preserve">S(A) = ⟨min_γ |γ|_faces⟩_ensemble · ln D_eff</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In the continuum limit (|γ|_faces · l²_pl → Area(γ)) and at the IR fixed point (ln D_eff → 1/4):</w:t>
      </w:r>
    </w:p>
    <w:p>
      <w:pPr>
        <w:spacing w:before="140" w:after="140"/>
        <w:ind w:left="480"/>
      </w:pPr>
      <w:r>
        <w:rPr>
          <w:rFonts w:ascii="Cambria Math" w:cs="Cambria Math" w:eastAsia="Cambria Math" w:hAnsi="Cambria Math"/>
          <w:i/>
          <w:iCs/>
          <w:sz w:val="22"/>
          <w:szCs w:val="22"/>
        </w:rPr>
        <w:t xml:space="preserve">S(A) → Area(γ) / (4G)</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This is the Ryu–Takayanagi formula, now derived from CDT self-averaging + IR fixed point, not from random tensor network assumptions.</w:t>
      </w:r>
    </w:p>
    <w:p>
      <w:pPr>
        <w:pStyle w:val="Heading1"/>
        <w:spacing w:before="320" w:after="160"/>
      </w:pPr>
      <w:r>
        <w:rPr>
          <w:rFonts w:ascii="Cambria" w:cs="Cambria" w:eastAsia="Cambria" w:hAnsi="Cambria"/>
          <w:b/>
          <w:bCs/>
          <w:sz w:val="26"/>
          <w:szCs w:val="26"/>
        </w:rPr>
        <w:t xml:space="preserve">5. Dimensional Reduction as Entanglement Phase Transition</w:t>
      </w:r>
    </w:p>
    <w:p>
      <w:pPr>
        <w:spacing w:after="100" w:line="264"/>
        <w:jc w:val="both"/>
      </w:pPr>
      <w:r>
        <w:rPr>
          <w:rFonts w:ascii="Cambria" w:cs="Cambria" w:eastAsia="Cambria" w:hAnsi="Cambria"/>
          <w:sz w:val="22"/>
          <w:szCs w:val="22"/>
        </w:rPr>
        <w:t xml:space="preserve">The CCDR order parameter χ = S_bulk/(A/4G) now has a concrete CDT–TN interpretation:</w:t>
      </w:r>
    </w:p>
    <w:p>
      <w:pPr>
        <w:spacing w:before="140" w:after="140"/>
        <w:ind w:left="480"/>
      </w:pPr>
      <w:r>
        <w:rPr>
          <w:rFonts w:ascii="Cambria Math" w:cs="Cambria Math" w:eastAsia="Cambria Math" w:hAnsi="Cambria Math"/>
          <w:i/>
          <w:iCs/>
          <w:sz w:val="22"/>
          <w:szCs w:val="22"/>
        </w:rPr>
        <w:t xml:space="preserve">χ = (entanglement entropy from TN) / (geometric area from CDT) × 4G</w:t>
      </w:r>
      <w:r>
        <w:rPr>
          <w:rFonts w:ascii="Cambria" w:cs="Cambria" w:eastAsia="Cambria" w:hAnsi="Cambria"/>
          <w:sz w:val="22"/>
          <w:szCs w:val="22"/>
        </w:rPr>
        <w:t xml:space="preserve">    (7)</w:t>
      </w:r>
    </w:p>
    <w:p>
      <w:pPr>
        <w:spacing w:after="100" w:line="264"/>
        <w:jc w:val="both"/>
      </w:pPr>
      <w:r>
        <w:rPr>
          <w:rFonts w:ascii="Cambria" w:cs="Cambria" w:eastAsia="Cambria" w:hAnsi="Cambria"/>
          <w:b/>
          <w:bCs/>
          <w:sz w:val="22"/>
          <w:szCs w:val="22"/>
        </w:rPr>
        <w:t xml:space="preserve">CDT Phase A: </w:t>
      </w:r>
      <w:r>
        <w:rPr>
          <w:rFonts w:ascii="Cambria" w:cs="Cambria" w:eastAsia="Cambria" w:hAnsi="Cambria"/>
          <w:sz w:val="22"/>
          <w:szCs w:val="22"/>
        </w:rPr>
        <w:t xml:space="preserve">χ &gt;&gt; 1. Volume-law entanglement. The TN description has too many connections per boundary area — the geometry is “over-entangled.” The system must reduce dimensionality to restore χ ≤ 1.</w:t>
      </w:r>
    </w:p>
    <w:p>
      <w:pPr>
        <w:spacing w:after="100" w:line="264"/>
        <w:jc w:val="both"/>
      </w:pPr>
      <w:r>
        <w:rPr>
          <w:rFonts w:ascii="Cambria" w:cs="Cambria" w:eastAsia="Cambria" w:hAnsi="Cambria"/>
          <w:b/>
          <w:bCs/>
          <w:sz w:val="22"/>
          <w:szCs w:val="22"/>
        </w:rPr>
        <w:t xml:space="preserve">A → C transition (Big Bang): </w:t>
      </w:r>
      <w:r>
        <w:rPr>
          <w:rFonts w:ascii="Cambria" w:cs="Cambria" w:eastAsia="Cambria" w:hAnsi="Cambria"/>
          <w:sz w:val="22"/>
          <w:szCs w:val="22"/>
        </w:rPr>
        <w:t xml:space="preserve">Volume-law → area-law. χ drops from &gt;&gt; 1 to ~ 1. The entanglement structure reorganises from a highly connected network (no extended geometry) to a locally connected network (extended 4D geometry). This IS the Big Bang in CDT–CCDR–TN.</w:t>
      </w:r>
    </w:p>
    <w:p>
      <w:pPr>
        <w:spacing w:after="100" w:line="264"/>
        <w:jc w:val="both"/>
      </w:pPr>
      <w:r>
        <w:rPr>
          <w:rFonts w:ascii="Cambria" w:cs="Cambria" w:eastAsia="Cambria" w:hAnsi="Cambria"/>
          <w:b/>
          <w:bCs/>
          <w:sz w:val="22"/>
          <w:szCs w:val="22"/>
        </w:rPr>
        <w:t xml:space="preserve">CDT Phase C: </w:t>
      </w:r>
      <w:r>
        <w:rPr>
          <w:rFonts w:ascii="Cambria" w:cs="Cambria" w:eastAsia="Cambria" w:hAnsi="Cambria"/>
          <w:sz w:val="22"/>
          <w:szCs w:val="22"/>
        </w:rPr>
        <w:t xml:space="preserve">χ ~ 1. Area-law entanglement. Stable, extended geometry. Holographic bound satisfied. The cosmological crystal.</w:t>
      </w:r>
    </w:p>
    <w:p>
      <w:pPr>
        <w:spacing w:after="100" w:line="264"/>
        <w:jc w:val="both"/>
      </w:pPr>
      <w:r>
        <w:rPr>
          <w:rFonts w:ascii="Cambria" w:cs="Cambria" w:eastAsia="Cambria" w:hAnsi="Cambria"/>
          <w:b/>
          <w:bCs/>
          <w:sz w:val="22"/>
          <w:szCs w:val="22"/>
        </w:rPr>
        <w:t xml:space="preserve">C → B transition (black hole): </w:t>
      </w:r>
      <w:r>
        <w:rPr>
          <w:rFonts w:ascii="Cambria" w:cs="Cambria" w:eastAsia="Cambria" w:hAnsi="Cambria"/>
          <w:sz w:val="22"/>
          <w:szCs w:val="22"/>
        </w:rPr>
        <w:t xml:space="preserve">Area-law → log-law. χ drops from ~ 1 to &lt;&lt; 1. 3+1D geometry degenerates to 2D branching.</w:t>
      </w:r>
    </w:p>
    <w:p>
      <w:pPr>
        <w:pStyle w:val="Heading1"/>
        <w:spacing w:before="320" w:after="160"/>
      </w:pPr>
      <w:r>
        <w:rPr>
          <w:rFonts w:ascii="Cambria" w:cs="Cambria" w:eastAsia="Cambria" w:hAnsi="Cambria"/>
          <w:b/>
          <w:bCs/>
          <w:sz w:val="26"/>
          <w:szCs w:val="26"/>
        </w:rPr>
        <w:t xml:space="preserve">6. The Projection Map = Tensor Network Contraction</w:t>
      </w:r>
    </w:p>
    <w:p>
      <w:pPr>
        <w:spacing w:before="140" w:after="140"/>
        <w:ind w:left="480"/>
      </w:pPr>
      <w:r>
        <w:rPr>
          <w:rFonts w:ascii="Cambria Math" w:cs="Cambria Math" w:eastAsia="Cambria Math" w:hAnsi="Cambria Math"/>
          <w:i/>
          <w:iCs/>
          <w:sz w:val="22"/>
          <w:szCs w:val="22"/>
        </w:rPr>
        <w:t xml:space="preserve">π: |bulk⟩ → |ψ_boundary⟩ = Contract(TN_eff, |bulk⟩)</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Properties: (i) information-preserving (injective on code subspace); (ii) dimensionally reducing; (iii) quantum error-correcting (Almheiri–Dong–Harlow). This resolves CCDR §15.2.</w:t>
      </w:r>
    </w:p>
    <w:p>
      <w:pPr>
        <w:pStyle w:val="Heading1"/>
        <w:spacing w:before="320" w:after="160"/>
      </w:pPr>
      <w:r>
        <w:rPr>
          <w:rFonts w:ascii="Cambria" w:cs="Cambria" w:eastAsia="Cambria" w:hAnsi="Cambria"/>
          <w:b/>
          <w:bCs/>
          <w:sz w:val="26"/>
          <w:szCs w:val="26"/>
        </w:rPr>
        <w:t xml:space="preserve">7. The Information Paradox: Resolved</w:t>
      </w:r>
    </w:p>
    <w:p>
      <w:pPr>
        <w:spacing w:after="100" w:line="264"/>
        <w:jc w:val="both"/>
      </w:pPr>
      <w:r>
        <w:rPr>
          <w:rFonts w:ascii="Cambria" w:cs="Cambria" w:eastAsia="Cambria" w:hAnsi="Cambria"/>
          <w:sz w:val="22"/>
          <w:szCs w:val="22"/>
        </w:rPr>
        <w:t xml:space="preserve">Black hole information is encoded via the TN contraction from 3+1D bulk to 2+1D horizon boundary. The encoding is a quantum error-correcting code. Hawking radiation is the thermal readout. Unitarity is preserved because TN contraction is linear. The Page time corresponds to the RT surface island transition.</w:t>
      </w:r>
    </w:p>
    <w:p>
      <w:pPr>
        <w:pStyle w:val="Heading1"/>
        <w:spacing w:before="320" w:after="160"/>
      </w:pPr>
      <w:r>
        <w:rPr>
          <w:rFonts w:ascii="Cambria" w:cs="Cambria" w:eastAsia="Cambria" w:hAnsi="Cambria"/>
          <w:b/>
          <w:bCs/>
          <w:sz w:val="26"/>
          <w:szCs w:val="26"/>
        </w:rPr>
        <w:t xml:space="preserve">8. Time Crystal in TN Language</w:t>
      </w:r>
    </w:p>
    <w:p>
      <w:pPr>
        <w:spacing w:after="100" w:line="264"/>
        <w:jc w:val="both"/>
      </w:pPr>
      <w:r>
        <w:rPr>
          <w:rFonts w:ascii="Cambria" w:cs="Cambria" w:eastAsia="Cambria" w:hAnsi="Cambria"/>
          <w:sz w:val="22"/>
          <w:szCs w:val="22"/>
        </w:rPr>
        <w:t xml:space="preserve">The de Sitter horizon is the boundary of the cosmological TN. The time crystal frequency ω = H∞ is determined by the entanglement spectrum gap Δλ of the boundary state. The Lindbladian evolution is the effective dynamics after tracing out external TN indices.</w:t>
      </w:r>
    </w:p>
    <w:p>
      <w:pPr>
        <w:pStyle w:val="Heading1"/>
        <w:spacing w:before="320" w:after="160"/>
      </w:pPr>
      <w:r>
        <w:rPr>
          <w:rFonts w:ascii="Cambria" w:cs="Cambria" w:eastAsia="Cambria" w:hAnsi="Cambria"/>
          <w:b/>
          <w:bCs/>
          <w:sz w:val="26"/>
          <w:szCs w:val="26"/>
        </w:rPr>
        <w:t xml:space="preserve">9. MOND in TN Language</w:t>
      </w:r>
    </w:p>
    <w:p>
      <w:pPr>
        <w:spacing w:after="100" w:line="264"/>
        <w:jc w:val="both"/>
      </w:pPr>
      <w:r>
        <w:rPr>
          <w:rFonts w:ascii="Cambria" w:cs="Cambria" w:eastAsia="Cambria" w:hAnsi="Cambria"/>
          <w:sz w:val="22"/>
          <w:szCs w:val="22"/>
        </w:rPr>
        <w:t xml:space="preserve">Grain boundary phonon scattering (MOND) maps to connectivity defects in the effective TN. The entanglement deficit across a grain boundary: ΔS/S ~ ν ~ 10⁻³. The MOND acceleration a₀ = cH₀ is the perturbation wavelength at which the TN defect scattering cross-section becomes O(1).</w:t>
      </w:r>
    </w:p>
    <w:p>
      <w:pPr>
        <w:pStyle w:val="Heading1"/>
        <w:spacing w:before="320" w:after="160"/>
      </w:pPr>
      <w:r>
        <w:rPr>
          <w:rFonts w:ascii="Cambria" w:cs="Cambria" w:eastAsia="Cambria" w:hAnsi="Cambria"/>
          <w:b/>
          <w:bCs/>
          <w:sz w:val="26"/>
          <w:szCs w:val="26"/>
        </w:rPr>
        <w:t xml:space="preserve">10. Predictions</w:t>
      </w:r>
    </w:p>
    <w:p>
      <w:pPr>
        <w:spacing w:after="100" w:line="264"/>
        <w:jc w:val="both"/>
      </w:pPr>
      <w:r>
        <w:rPr>
          <w:rFonts w:ascii="Cambria" w:cs="Cambria" w:eastAsia="Cambria" w:hAnsi="Cambria"/>
          <w:b/>
          <w:bCs/>
          <w:sz w:val="22"/>
          <w:szCs w:val="22"/>
        </w:rPr>
        <w:t xml:space="preserve">TN1 — Entanglement area law in 3D CDT (PRIMARY). </w:t>
      </w:r>
      <w:r>
        <w:rPr>
          <w:rFonts w:ascii="Cambria" w:cs="Cambria" w:eastAsia="Cambria" w:hAnsi="Cambria"/>
          <w:sz w:val="22"/>
          <w:szCs w:val="22"/>
        </w:rPr>
        <w:t xml:space="preserve">S(A) = c · Area with c → 1/4 in the IR. Testable: 3D CDT + tensor network libraries.</w:t>
      </w:r>
    </w:p>
    <w:p>
      <w:pPr>
        <w:spacing w:after="100" w:line="264"/>
        <w:jc w:val="both"/>
      </w:pPr>
      <w:r>
        <w:rPr>
          <w:rFonts w:ascii="Cambria" w:cs="Cambria" w:eastAsia="Cambria" w:hAnsi="Cambria"/>
          <w:b/>
          <w:bCs/>
          <w:sz w:val="22"/>
          <w:szCs w:val="22"/>
        </w:rPr>
        <w:t xml:space="preserve">TN2 — ⟨S_Regge(face)⟩ → 1/4 as RG fixed point. </w:t>
      </w:r>
      <w:r>
        <w:rPr>
          <w:rFonts w:ascii="Cambria" w:cs="Cambria" w:eastAsia="Cambria" w:hAnsi="Cambria"/>
          <w:sz w:val="22"/>
          <w:szCs w:val="22"/>
        </w:rPr>
        <w:t xml:space="preserve">Measurable in existing CDT C-phase simulations at multiple coarse-graining scales.</w:t>
      </w:r>
    </w:p>
    <w:p>
      <w:pPr>
        <w:spacing w:after="100" w:line="264"/>
        <w:jc w:val="both"/>
      </w:pPr>
      <w:r>
        <w:rPr>
          <w:rFonts w:ascii="Cambria" w:cs="Cambria" w:eastAsia="Cambria" w:hAnsi="Cambria"/>
          <w:b/>
          <w:bCs/>
          <w:sz w:val="22"/>
          <w:szCs w:val="22"/>
        </w:rPr>
        <w:t xml:space="preserve">TN3 — Entanglement phase transition A → C. </w:t>
      </w:r>
      <w:r>
        <w:rPr>
          <w:rFonts w:ascii="Cambria" w:cs="Cambria" w:eastAsia="Cambria" w:hAnsi="Cambria"/>
          <w:sz w:val="22"/>
          <w:szCs w:val="22"/>
        </w:rPr>
        <w:t xml:space="preserve">Volume-law → area-law across CDT phase boundary.</w:t>
      </w:r>
    </w:p>
    <w:p>
      <w:pPr>
        <w:spacing w:after="100" w:line="264"/>
        <w:jc w:val="both"/>
      </w:pPr>
      <w:r>
        <w:rPr>
          <w:rFonts w:ascii="Cambria" w:cs="Cambria" w:eastAsia="Cambria" w:hAnsi="Cambria"/>
          <w:b/>
          <w:bCs/>
          <w:sz w:val="22"/>
          <w:szCs w:val="22"/>
        </w:rPr>
        <w:t xml:space="preserve">TN4 — Entanglement spectrum gap Δλ ~ H∞. </w:t>
      </w:r>
      <w:r>
        <w:rPr>
          <w:rFonts w:ascii="Cambria" w:cs="Cambria" w:eastAsia="Cambria" w:hAnsi="Cambria"/>
          <w:sz w:val="22"/>
          <w:szCs w:val="22"/>
        </w:rPr>
        <w:t xml:space="preserve">Connects time crystal to holography.</w:t>
      </w:r>
    </w:p>
    <w:p>
      <w:pPr>
        <w:spacing w:after="100" w:line="264"/>
        <w:jc w:val="both"/>
      </w:pPr>
      <w:r>
        <w:rPr>
          <w:rFonts w:ascii="Cambria" w:cs="Cambria" w:eastAsia="Cambria" w:hAnsi="Cambria"/>
          <w:b/>
          <w:bCs/>
          <w:sz w:val="22"/>
          <w:szCs w:val="22"/>
        </w:rPr>
        <w:t xml:space="preserve">TN5 — Grain boundary entanglement deficit ΔS/S ~ 10⁻³. </w:t>
      </w:r>
      <w:r>
        <w:rPr>
          <w:rFonts w:ascii="Cambria" w:cs="Cambria" w:eastAsia="Cambria" w:hAnsi="Cambria"/>
          <w:sz w:val="22"/>
          <w:szCs w:val="22"/>
        </w:rPr>
        <w:t xml:space="preserve">Connects MOND to entanglement.</w:t>
      </w:r>
    </w:p>
    <w:p>
      <w:pPr>
        <w:spacing w:after="100" w:line="264"/>
        <w:jc w:val="both"/>
      </w:pPr>
      <w:r>
        <w:rPr>
          <w:rFonts w:ascii="Cambria" w:cs="Cambria" w:eastAsia="Cambria" w:hAnsi="Cambria"/>
          <w:b/>
          <w:bCs/>
          <w:sz w:val="22"/>
          <w:szCs w:val="22"/>
        </w:rPr>
        <w:t xml:space="preserve">T1 — Spectral dimension oscillation δd ~ ν ~ 10⁻³. </w:t>
      </w:r>
      <w:r>
        <w:rPr>
          <w:rFonts w:ascii="Cambria" w:cs="Cambria" w:eastAsia="Cambria" w:hAnsi="Cambria"/>
          <w:sz w:val="22"/>
          <w:szCs w:val="22"/>
        </w:rPr>
        <w:t xml:space="preserve">Testable in CDT simulations with ~2353 configs (5σ).</w:t>
      </w:r>
    </w:p>
    <w:p>
      <w:pPr>
        <w:spacing w:after="100" w:line="264"/>
        <w:jc w:val="both"/>
      </w:pPr>
      <w:r>
        <w:rPr>
          <w:rFonts w:ascii="Cambria" w:cs="Cambria" w:eastAsia="Cambria" w:hAnsi="Cambria"/>
          <w:b/>
          <w:bCs/>
          <w:sz w:val="22"/>
          <w:szCs w:val="22"/>
        </w:rPr>
        <w:t xml:space="preserve">T3 — Two-point test: δd_Pl = ν. </w:t>
      </w:r>
      <w:r>
        <w:rPr>
          <w:rFonts w:ascii="Cambria" w:cs="Cambria" w:eastAsia="Cambria" w:hAnsi="Cambria"/>
          <w:sz w:val="22"/>
          <w:szCs w:val="22"/>
        </w:rPr>
        <w:t xml:space="preserve">CDT simulation vs DESI cosmological survey. First bridge between quantum gravity and observational cosmology.</w:t>
      </w:r>
    </w:p>
    <w:p>
      <w:pPr>
        <w:spacing w:after="100" w:line="264"/>
        <w:jc w:val="both"/>
      </w:pPr>
      <w:r>
        <w:rPr>
          <w:rFonts w:ascii="Cambria" w:cs="Cambria" w:eastAsia="Cambria" w:hAnsi="Cambria"/>
          <w:b/>
          <w:bCs/>
          <w:sz w:val="22"/>
          <w:szCs w:val="22"/>
        </w:rPr>
        <w:t xml:space="preserve">TN-NEW-1 — D_eff RG flow. </w:t>
      </w:r>
      <w:r>
        <w:rPr>
          <w:rFonts w:ascii="Cambria" w:cs="Cambria" w:eastAsia="Cambria" w:hAnsi="Cambria"/>
          <w:sz w:val="22"/>
          <w:szCs w:val="22"/>
        </w:rPr>
        <w:t xml:space="preserve">D_eff(μ) should decrease monotonically from UV to IR in CDT C-phase, reaching D* = e^{1/4} at the largest available scale.</w:t>
      </w:r>
    </w:p>
    <w:p>
      <w:pPr>
        <w:spacing w:after="100" w:line="264"/>
        <w:jc w:val="both"/>
      </w:pPr>
      <w:r>
        <w:rPr>
          <w:rFonts w:ascii="Cambria" w:cs="Cambria" w:eastAsia="Cambria" w:hAnsi="Cambria"/>
          <w:b/>
          <w:bCs/>
          <w:sz w:val="22"/>
          <w:szCs w:val="22"/>
        </w:rPr>
        <w:t xml:space="preserve">TN-NEW-2 — Entanglement entropy scaling exponent. </w:t>
      </w:r>
      <w:r>
        <w:rPr>
          <w:rFonts w:ascii="Cambria" w:cs="Cambria" w:eastAsia="Cambria" w:hAnsi="Cambria"/>
          <w:sz w:val="22"/>
          <w:szCs w:val="22"/>
        </w:rPr>
        <w:t xml:space="preserve">In 3D CDT, S ~ A^{α} with α = 1.00 ± 0.02. Deviation from α = 1 would indicate non-holographic entanglement structure.</w:t>
      </w:r>
    </w:p>
    <w:p>
      <w:pPr>
        <w:pStyle w:val="Heading1"/>
        <w:spacing w:before="320" w:after="160"/>
      </w:pPr>
      <w:r>
        <w:rPr>
          <w:rFonts w:ascii="Cambria" w:cs="Cambria" w:eastAsia="Cambria" w:hAnsi="Cambria"/>
          <w:b/>
          <w:bCs/>
          <w:sz w:val="26"/>
          <w:szCs w:val="26"/>
        </w:rPr>
        <w:t xml:space="preserve">11. Falsifiability</w:t>
      </w:r>
    </w:p>
    <w:p>
      <w:pPr>
        <w:spacing w:after="100" w:line="264"/>
        <w:jc w:val="both"/>
      </w:pPr>
      <w:r>
        <w:rPr>
          <w:rFonts w:ascii="Cambria" w:cs="Cambria" w:eastAsia="Cambria" w:hAnsi="Cambria"/>
          <w:b/>
          <w:bCs/>
          <w:sz w:val="22"/>
          <w:szCs w:val="22"/>
        </w:rPr>
        <w:t xml:space="preserve">Immediate: </w:t>
      </w:r>
      <w:r>
        <w:rPr>
          <w:rFonts w:ascii="Cambria" w:cs="Cambria" w:eastAsia="Cambria" w:hAnsi="Cambria"/>
          <w:sz w:val="22"/>
          <w:szCs w:val="22"/>
        </w:rPr>
        <w:t xml:space="preserve">TN1, TN2 testable now with existing 3D CDT + ITensor/quimb.</w:t>
      </w:r>
    </w:p>
    <w:p>
      <w:pPr>
        <w:spacing w:after="100" w:line="264"/>
        <w:jc w:val="both"/>
      </w:pPr>
      <w:r>
        <w:rPr>
          <w:rFonts w:ascii="Cambria" w:cs="Cambria" w:eastAsia="Cambria" w:hAnsi="Cambria"/>
          <w:b/>
          <w:bCs/>
          <w:sz w:val="22"/>
          <w:szCs w:val="22"/>
        </w:rPr>
        <w:t xml:space="preserve">If TN2 fails </w:t>
      </w:r>
      <w:r>
        <w:rPr>
          <w:rFonts w:ascii="Cambria" w:cs="Cambria" w:eastAsia="Cambria" w:hAnsi="Cambria"/>
          <w:sz w:val="22"/>
          <w:szCs w:val="22"/>
        </w:rPr>
        <w:t xml:space="preserve">(⟨S_Regge(face)⟩ ≠ 1/4): tensor network identification must be modified. CDT and CCDR survive.</w:t>
      </w:r>
    </w:p>
    <w:p>
      <w:pPr>
        <w:spacing w:after="100" w:line="264"/>
        <w:jc w:val="both"/>
      </w:pPr>
      <w:r>
        <w:rPr>
          <w:rFonts w:ascii="Cambria" w:cs="Cambria" w:eastAsia="Cambria" w:hAnsi="Cambria"/>
          <w:b/>
          <w:bCs/>
          <w:sz w:val="22"/>
          <w:szCs w:val="22"/>
        </w:rPr>
        <w:t xml:space="preserve">If TN1 fails </w:t>
      </w:r>
      <w:r>
        <w:rPr>
          <w:rFonts w:ascii="Cambria" w:cs="Cambria" w:eastAsia="Cambria" w:hAnsi="Cambria"/>
          <w:sz w:val="22"/>
          <w:szCs w:val="22"/>
        </w:rPr>
        <w:t xml:space="preserve">(S ≠ Area-law in CDT C-phase): either CDT doesn’t produce holographic geometry, or TN description is inadequate. Either way, TN layer is falsified.</w:t>
      </w:r>
    </w:p>
    <w:p>
      <w:pPr>
        <w:spacing w:after="100" w:line="264"/>
        <w:jc w:val="both"/>
      </w:pPr>
      <w:r>
        <w:rPr>
          <w:rFonts w:ascii="Cambria" w:cs="Cambria" w:eastAsia="Cambria" w:hAnsi="Cambria"/>
          <w:b/>
          <w:bCs/>
          <w:sz w:val="22"/>
          <w:szCs w:val="22"/>
        </w:rPr>
        <w:t xml:space="preserve">If T3 fails </w:t>
      </w:r>
      <w:r>
        <w:rPr>
          <w:rFonts w:ascii="Cambria" w:cs="Cambria" w:eastAsia="Cambria" w:hAnsi="Cambria"/>
          <w:sz w:val="22"/>
          <w:szCs w:val="22"/>
        </w:rPr>
        <w:t xml:space="preserve">(δd_Pl ≠ ν): the CDT–CCDR link between spectral dimension and running vacuum is falsified.</w:t>
      </w:r>
    </w:p>
    <w:p>
      <w:pPr>
        <w:pStyle w:val="Heading1"/>
        <w:spacing w:before="320" w:after="160"/>
      </w:pPr>
      <w:r>
        <w:rPr>
          <w:rFonts w:ascii="Cambria" w:cs="Cambria" w:eastAsia="Cambria" w:hAnsi="Cambria"/>
          <w:b/>
          <w:bCs/>
          <w:sz w:val="26"/>
          <w:szCs w:val="26"/>
        </w:rPr>
        <w:t xml:space="preserve">12. Conclusion</w:t>
      </w:r>
    </w:p>
    <w:p>
      <w:pPr>
        <w:spacing w:after="100" w:line="264"/>
        <w:jc w:val="both"/>
      </w:pPr>
      <w:r>
        <w:rPr>
          <w:rFonts w:ascii="Cambria" w:cs="Cambria" w:eastAsia="Cambria" w:hAnsi="Cambria"/>
          <w:sz w:val="22"/>
          <w:szCs w:val="22"/>
        </w:rPr>
        <w:t xml:space="preserve">CDT–CCDR–TN provides the complete chain: CDT (simplicial quantum gravity) → coarse-graining → TN (emergent entanglement structure) → holographic area law (S = A/4G with 1/4 as IR fixed point) → CCDR (χ = 1 triggers dimensional reduction) → observable predictions. Every link is computable, every prediction is falsifiable. The holographic principle is not assumed — it emerges from the entanglement structure of the CDT ensemble in the semiclassical regime.</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Ryu &amp; Takayanagi (2006). Phys. Rev. Lett. 96, 181602.</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Hayden et al. (2016). JHEP 11, 009.</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Almheiri, Dong &amp; Harlow (2015). JHEP 04, 163.</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Ambjørn, Jurkiewicz &amp; Loll (2005). Phys. Rev. Lett. 95, 171301.</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Ambjørn et al. (2012). Phys. Rep. 519, 127.</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Solà (2013). J. Phys. Conf. Ser. 453, 012015.</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Swingle (2012). Phys. Rev. D 86, 065007.</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Vidal (2007). Phys. Rev. Lett. 99, 220405.</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Chandrasekaran, Penington &amp; Witten (2023). JHEP 02, 082.</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Hastings (2007). JSTAT P08024.</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2026-03-26T07:06:53.613Z</dcterms:created>
  <dcterms:modified xsi:type="dcterms:W3CDTF">2026-03-26T07:06:53.614Z</dcterms:modified>
</cp:coreProperties>
</file>

<file path=docProps/custom.xml><?xml version="1.0" encoding="utf-8"?>
<Properties xmlns="http://schemas.openxmlformats.org/officeDocument/2006/custom-properties" xmlns:vt="http://schemas.openxmlformats.org/officeDocument/2006/docPropsVTypes"/>
</file>