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A3A5C"/>
          <w:sz w:val="36"/>
          <w:szCs w:val="36"/>
        </w:rPr>
        <w:t xml:space="preserve">The LGT–AS–SSM–RVM–AQN–CDT–TN–CCDR Synthesis:</w:t>
      </w:r>
    </w:p>
    <w:p>
      <w:pPr>
        <w:spacing w:before="0" w:after="240"/>
        <w:jc w:val="center"/>
      </w:pPr>
      <w:r>
        <w:rPr>
          <w:rFonts w:ascii="Arial" w:cs="Arial" w:eastAsia="Arial" w:hAnsi="Arial"/>
          <w:b/>
          <w:bCs/>
          <w:color w:val="2E5B8A"/>
          <w:sz w:val="30"/>
          <w:szCs w:val="30"/>
        </w:rPr>
        <w:t xml:space="preserve">Eight Frameworks, One Cosmological Crystal</w:t>
      </w:r>
    </w:p>
    <w:p>
      <w:pPr>
        <w:spacing w:before="0" w:after="120"/>
        <w:jc w:val="center"/>
      </w:pPr>
      <w:r>
        <w:rPr>
          <w:rFonts w:ascii="Arial" w:cs="Arial" w:eastAsia="Arial" w:hAnsi="Arial"/>
          <w:i/>
          <w:iCs/>
          <w:color w:val="555555"/>
          <w:sz w:val="20"/>
          <w:szCs w:val="20"/>
        </w:rPr>
        <w:t xml:space="preserve">Wilson (1974) – Weinberg (1979) / Reuter (1998) – Connes (1996) / Chamseddine–Connes (2007) –</w:t>
      </w:r>
    </w:p>
    <w:p>
      <w:pPr>
        <w:spacing w:before="0" w:after="120"/>
        <w:jc w:val="center"/>
      </w:pPr>
      <w:r>
        <w:rPr>
          <w:rFonts w:ascii="Arial" w:cs="Arial" w:eastAsia="Arial" w:hAnsi="Arial"/>
          <w:i/>
          <w:iCs/>
          <w:color w:val="555555"/>
          <w:sz w:val="20"/>
          <w:szCs w:val="20"/>
        </w:rPr>
        <w:t xml:space="preserve">Shapiro–Solà (2002) – Zhitnitsky (2003) – Ambjørn–Jurkiewicz–Loll (2004) –</w:t>
      </w:r>
    </w:p>
    <w:p>
      <w:pPr>
        <w:spacing w:before="0" w:after="240"/>
        <w:jc w:val="center"/>
      </w:pPr>
      <w:r>
        <w:rPr>
          <w:rFonts w:ascii="Arial" w:cs="Arial" w:eastAsia="Arial" w:hAnsi="Arial"/>
          <w:i/>
          <w:iCs/>
          <w:color w:val="555555"/>
          <w:sz w:val="20"/>
          <w:szCs w:val="20"/>
        </w:rPr>
        <w:t xml:space="preserve">Ryu–Takayanagi (2006) / Hayden et al. (2016) – CCDR (2026)</w:t>
      </w:r>
    </w:p>
    <w:p>
      <w:pPr>
        <w:spacing w:before="0" w:after="480"/>
        <w:jc w:val="center"/>
      </w:pPr>
      <w:r>
        <w:rPr>
          <w:rFonts w:ascii="Arial" w:cs="Arial" w:eastAsia="Arial" w:hAnsi="Arial"/>
          <w:color w:val="555555"/>
          <w:sz w:val="22"/>
          <w:szCs w:val="22"/>
        </w:rPr>
        <w:t xml:space="preserve">[Author names withheld] · March 2026</w:t>
      </w:r>
    </w:p>
    <w:p>
      <w:pPr>
        <w:spacing w:before="60" w:after="60"/>
      </w:pPr>
      <w:r>
        <w:t xml:space="preserve"/>
      </w:r>
    </w:p>
    <w:p>
      <w:pPr>
        <w:spacing w:before="120" w:after="60"/>
      </w:pPr>
      <w:r>
        <w:rPr>
          <w:rFonts w:ascii="Arial" w:cs="Arial" w:eastAsia="Arial" w:hAnsi="Arial"/>
          <w:b/>
          <w:bCs/>
          <w:color w:val="1A3A5C"/>
          <w:sz w:val="26"/>
          <w:szCs w:val="26"/>
        </w:rPr>
        <w:t xml:space="preserve">Abstract</w:t>
      </w:r>
    </w:p>
    <w:p>
      <w:pPr>
        <w:pBdr>
          <w:left w:val="single" w:color="2E5B8A" w:sz="6" w:space="10"/>
        </w:pBdr>
        <w:spacing w:before="60" w:after="200"/>
        <w:ind w:left="360"/>
        <w:jc w:val="both"/>
      </w:pPr>
      <w:r>
        <w:rPr>
          <w:rFonts w:ascii="Arial" w:cs="Arial" w:eastAsia="Arial" w:hAnsi="Arial"/>
          <w:sz w:val="21"/>
          <w:szCs w:val="21"/>
        </w:rPr>
        <w:t xml:space="preserve">We present the complete LGT–AS–SSM–RVM–AQN–CDT–TN–CCDR synthesis, integrating eight independently developed theoretical frameworks into a single coherent architecture for cosmology, quantum gravity, and particle physics. Listed in strict historical order of emergence, the eight frameworks are: Lattice Gauge Theory (Wilson 1974), Asymptotic Safety (Weinberg 1979; Reuter 1998), the Spectral Standard Model / Noncommutative Geometry (Connes 1996; Chamseddine–Connes 2007), the Running Vacuum Model (Shapiro &amp; Solà 2002), Axion Quark Nuggets (Zhitnitsky 2003), Causal Dynamical Triangulations (Ambjørn–Jurkiewicz–Loll 2004), Tensor Network Holography (Ryu–Takayanagi 2006; Hayden et al. 2016), and Crystallographic Cosmology from Dimensional Reduction (CCDR 2026). Each framework contributes an irreplaceable layer: LGT supplies the computational machinery; AS provides the UV fixed point; SSM derives the full Standard Model Lagrangian from spectral geometry; RVM supplies the dynamical cooling equation with ν ~ 10⁻³; AQN provides QCD-scale dark matter condensation; CDT supplies the microscopic geometric substrate; TN renders holography operational; and CCDR unifies all layers under the crystallographic order parameter χ → 1. The synthesis produces three flagship results: (1) the Standard Model gauge group SU(3)×SU(2)L×U(1)Y from 4-simplex symmetry; (2) the matter–antimatter asymmetry η ∼ ν × δCP × f_geo ∼ 10⁻¹⁰ as crystallisation segregation; and (3) a unified prediction programme of 30+ testable observational signatures across DESI, Euclid, CMB-S4, LISA, NANOGrav, LHC, and Belle II.</w:t>
      </w:r>
    </w:p>
    <w:p>
      <w:pPr>
        <w:pStyle w:val="Heading1"/>
        <w:spacing w:before="320" w:after="160"/>
      </w:pPr>
      <w:r>
        <w:rPr>
          <w:rFonts w:ascii="Arial" w:cs="Arial" w:eastAsia="Arial" w:hAnsi="Arial"/>
          <w:b/>
          <w:bCs/>
          <w:sz w:val="32"/>
          <w:szCs w:val="32"/>
        </w:rPr>
        <w:t xml:space="preserve">1. Introduction: Eight Frameworks in Historical Order</w:t>
      </w:r>
    </w:p>
    <w:p>
      <w:pPr>
        <w:spacing w:before="80" w:after="80"/>
        <w:jc w:val="both"/>
      </w:pPr>
      <w:r>
        <w:rPr>
          <w:rFonts w:ascii="Arial" w:cs="Arial" w:eastAsia="Arial" w:hAnsi="Arial"/>
          <w:sz w:val="22"/>
          <w:szCs w:val="22"/>
        </w:rPr>
        <w:t xml:space="preserve">The history of fundamental physics in the last half-century can be read as a sequence of independent theoretical breakthroughs, each addressing a specific deep problem. What has remained missing is a systematic synthesis showing how these breakthroughs are not merely compatible, but architecturally necessary for one another. This article presents that synthesis.</w:t>
      </w:r>
    </w:p>
    <w:p>
      <w:pPr>
        <w:spacing w:before="80" w:after="80"/>
        <w:jc w:val="both"/>
      </w:pPr>
      <w:r>
        <w:rPr>
          <w:rFonts w:ascii="Arial" w:cs="Arial" w:eastAsia="Arial" w:hAnsi="Arial"/>
          <w:sz w:val="22"/>
          <w:szCs w:val="22"/>
        </w:rPr>
        <w:t xml:space="preserve">The frameworks are presented in strict historical order of publication, which also corresponds to the logical order of their roles in the complete architecture: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3626"/>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Acronym</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Authors / Year</w:t>
            </w:r>
          </w:p>
        </w:tc>
        <w:tc>
          <w:tcPr>
            <w:tcW w:type="dxa" w:w="3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Irreplaceable Contribution</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LGT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Lattice Gauge Theory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Wilson, 1974</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Computational machinery: lattice Dirac operator, Monte Carlo sampling, fermion propagator</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Asymptotic Safety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Weinberg 1979; Reuter 1998</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 fixed point for all coupling constants; gravitational RG completion</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Spectral Standard Model (NCG)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Connes 1996; Chamseddine–Connes 2007</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SM Lagrangian from spectral action Tr(f(D/Λ)); Higgs mass prediction</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RVM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Vacuum Model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Shapiro &amp; Solà, 2002</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Dynamical vacuum cooling equation; ν ~ 10⁻³ from QFT renormalisation</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AQN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Axion Quark Nuggets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Zhitnitsky, 2003</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QCD-scale dark matter condensation; baryon asymmetry; ΩDM/ΩB ≈ 5</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CDT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Causal Dynamical Triangulations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Ambjørn–Jurkiewicz–Loll, 2004</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Microscopic geometric substrate; emergent 4D gravity; simplicial path integral</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TN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Tensor Network Holography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Ryu–Takayanagi 2006; Hayden et al. 2016</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 = Area/4G from minimal cuts; holographic bulk–boundary encoding</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CCDR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Crystallographic Cosmology from Dimensional Reduction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Unifying order parameter χ → 1; crystallographic interpretation of all phenomena</w:t>
            </w:r>
          </w:p>
        </w:tc>
      </w:tr>
    </w:tbl>
    <w:p>
      <w:pPr>
        <w:spacing w:before="60" w:after="60"/>
      </w:pPr>
      <w:r>
        <w:t xml:space="preserve"/>
      </w:r>
    </w:p>
    <w:p>
      <w:pPr>
        <w:pStyle w:val="Heading1"/>
        <w:spacing w:before="320" w:after="160"/>
      </w:pPr>
      <w:r>
        <w:rPr>
          <w:rFonts w:ascii="Arial" w:cs="Arial" w:eastAsia="Arial" w:hAnsi="Arial"/>
          <w:b/>
          <w:bCs/>
          <w:sz w:val="32"/>
          <w:szCs w:val="32"/>
        </w:rPr>
        <w:t xml:space="preserve">2. Historical Overview of the Eight Frameworks</w:t>
      </w:r>
    </w:p>
    <w:p>
      <w:pPr>
        <w:pStyle w:val="Heading2"/>
        <w:spacing w:before="240" w:after="120"/>
      </w:pPr>
      <w:r>
        <w:rPr>
          <w:rFonts w:ascii="Arial" w:cs="Arial" w:eastAsia="Arial" w:hAnsi="Arial"/>
          <w:b/>
          <w:bCs/>
          <w:sz w:val="26"/>
          <w:szCs w:val="26"/>
        </w:rPr>
        <w:t xml:space="preserve">2.1  LGT — Lattice Gauge Theory  (Wilson, 1974)</w:t>
      </w:r>
    </w:p>
    <w:p>
      <w:pPr>
        <w:spacing w:before="80" w:after="80"/>
        <w:jc w:val="both"/>
      </w:pPr>
      <w:r>
        <w:rPr>
          <w:rFonts w:ascii="Arial" w:cs="Arial" w:eastAsia="Arial" w:hAnsi="Arial"/>
          <w:sz w:val="22"/>
          <w:szCs w:val="22"/>
        </w:rPr>
        <w:t xml:space="preserve">Kenneth Wilson's lattice formulation of gauge theory (1974) was the first non-perturbative framework for quantum field theory. By discretising spacetime on a hypercubic lattice and placing gauge links on edges, Wilson provided a path-integral definition of QCD that is not only mathematically rigorous but computationally tractable via Monte Carlo methods. Lattice QCD has since computed hadron masses, quark masses, and strong coupling constants to sub-percent precision.</w:t>
      </w:r>
    </w:p>
    <w:p>
      <w:pPr>
        <w:spacing w:before="80" w:after="80"/>
        <w:jc w:val="both"/>
      </w:pPr>
      <w:r>
        <w:rPr>
          <w:rFonts w:ascii="Arial" w:cs="Arial" w:eastAsia="Arial" w:hAnsi="Arial"/>
          <w:sz w:val="22"/>
          <w:szCs w:val="22"/>
        </w:rPr>
        <w:t xml:space="preserve">In the eight-framework synthesis, LGT is the calculator. The key adaptation is replacing Wilson's regular hypercubic lattice with the CDT C-phase simplicial triangulation. The lattice Dirac operator becomes the simplicial Dirac operator (Becher–Joos formulation); Wilson loops become holonomies around simplex faces; Monte Carlo sampling runs over the CDT geometric ensemble. This adaptation is non-trivial but mathematically well-defined, and it enables the full fermion mass spectrum to be computed as poles of the fermion propagator on the CDT geometry.</w:t>
      </w:r>
    </w:p>
    <w:p>
      <w:pPr>
        <w:pStyle w:val="Heading2"/>
        <w:spacing w:before="240" w:after="120"/>
      </w:pPr>
      <w:r>
        <w:rPr>
          <w:rFonts w:ascii="Arial" w:cs="Arial" w:eastAsia="Arial" w:hAnsi="Arial"/>
          <w:b/>
          <w:bCs/>
          <w:sz w:val="26"/>
          <w:szCs w:val="26"/>
        </w:rPr>
        <w:t xml:space="preserve">2.2  AS — Asymptotic Safety  (Weinberg 1979; Reuter 1998)</w:t>
      </w:r>
    </w:p>
    <w:p>
      <w:pPr>
        <w:spacing w:before="80" w:after="80"/>
        <w:jc w:val="both"/>
      </w:pPr>
      <w:r>
        <w:rPr>
          <w:rFonts w:ascii="Arial" w:cs="Arial" w:eastAsia="Arial" w:hAnsi="Arial"/>
          <w:sz w:val="22"/>
          <w:szCs w:val="22"/>
        </w:rPr>
        <w:t xml:space="preserve">Steven Weinberg proposed in 1979 that quantum gravity might be non-perturbatively renormalisable via an ultraviolet fixed point in theory space — a phenomenon he named asymptotic safety, in analogy with asymptotic freedom in QCD. Martin Reuter demonstrated in 1998 that such a fixed point exists using functional renormalisation group (FRG) methods: the gravitational coupling G and cosmological constant Λ run as G(μ) → G*/μ² and Λ(μ) → Λ*μ² as μ → ∞, with calculable fixed-point values G* ≈ 0.707.</w:t>
      </w:r>
    </w:p>
    <w:p>
      <w:pPr>
        <w:spacing w:before="80" w:after="80"/>
        <w:jc w:val="both"/>
      </w:pPr>
      <w:r>
        <w:rPr>
          <w:rFonts w:ascii="Arial" w:cs="Arial" w:eastAsia="Arial" w:hAnsi="Arial"/>
          <w:sz w:val="22"/>
          <w:szCs w:val="22"/>
        </w:rPr>
        <w:t xml:space="preserve">In the synthesis, AS provides the UV boundary conditions for all coupling constant RG flows. The CDT A–C phase transition has been shown to be consistent with an AS fixed point (Ambjørn et al. 2011). Consequently, all dimensionless couplings — including the fine structure constant α = 1/137, the strong coupling αs, and the Fermi constant GF — are determined at the UV fixed point and evolved to low energy by standard RG running. The value α = 1/137 becomes a prediction of the CDT C-phase geometry, not an unexplained input.</w:t>
      </w:r>
    </w:p>
    <w:p>
      <w:pPr>
        <w:pStyle w:val="Heading2"/>
        <w:spacing w:before="240" w:after="120"/>
      </w:pPr>
      <w:r>
        <w:rPr>
          <w:rFonts w:ascii="Arial" w:cs="Arial" w:eastAsia="Arial" w:hAnsi="Arial"/>
          <w:b/>
          <w:bCs/>
          <w:sz w:val="26"/>
          <w:szCs w:val="26"/>
        </w:rPr>
        <w:t xml:space="preserve">2.3  SSM / NCG — Spectral Standard Model  (Connes 1996; Chamseddine–Connes 2007)</w:t>
      </w:r>
    </w:p>
    <w:p>
      <w:pPr>
        <w:spacing w:before="80" w:after="80"/>
        <w:jc w:val="both"/>
      </w:pPr>
      <w:r>
        <w:rPr>
          <w:rFonts w:ascii="Arial" w:cs="Arial" w:eastAsia="Arial" w:hAnsi="Arial"/>
          <w:sz w:val="22"/>
          <w:szCs w:val="22"/>
        </w:rPr>
        <w:t xml:space="preserve">Alain Connes’ noncommutative geometry (NCG) programme derives the complete Standard Model Lagrangian from a single geometric principle: the spectral action S = Tr(f(D/Λ)) applied to an “almost-commutative geometry” M4 × F, where M4 is ordinary 4D spacetime and F is a finite noncommutative internal space with algebra A = ℂ ⊕ ℍ ⊕ M3(ℂ) ↔ U(1)×SU(2)×SU(3). From this single principle, Chamseddine and Connes derived the Einstein–Hilbert action, the Yang–Mills action for the SM gauge group with correct relative normalisations, the Higgs potential, all Yukawa couplings, neutrino Majorana masses, and the Higgs mass prediction m_H ≈ 125 GeV.</w:t>
      </w:r>
    </w:p>
    <w:p>
      <w:pPr>
        <w:spacing w:before="80" w:after="80"/>
        <w:jc w:val="both"/>
      </w:pPr>
      <w:r>
        <w:rPr>
          <w:rFonts w:ascii="Arial" w:cs="Arial" w:eastAsia="Arial" w:hAnsi="Arial"/>
          <w:sz w:val="22"/>
          <w:szCs w:val="22"/>
        </w:rPr>
        <w:t xml:space="preserve">In the synthesis, SSM provides the action. The smooth manifold M4 is replaced by the CDT C-phase triangulation; the finite space F is identified with the 4-simplex internal symmetry (S5 subgroups). The spectral action on CDT gives the lattice-regularised SM Lagrangian. Combined with AS, which supplies the UV fixed-point boundary conditions, the result is a UV-complete Standard Model with all couplings calculable from CDT simplex geometry.</w:t>
      </w:r>
    </w:p>
    <w:p>
      <w:pPr>
        <w:pStyle w:val="Heading2"/>
        <w:spacing w:before="240" w:after="120"/>
      </w:pPr>
      <w:r>
        <w:rPr>
          <w:rFonts w:ascii="Arial" w:cs="Arial" w:eastAsia="Arial" w:hAnsi="Arial"/>
          <w:b/>
          <w:bCs/>
          <w:sz w:val="26"/>
          <w:szCs w:val="26"/>
        </w:rPr>
        <w:t xml:space="preserve">2.4  RVM — Running Vacuum Model  (Shapiro &amp; Solà, 2002)</w:t>
      </w:r>
    </w:p>
    <w:p>
      <w:pPr>
        <w:spacing w:before="80" w:after="80"/>
        <w:jc w:val="both"/>
      </w:pPr>
      <w:r>
        <w:rPr>
          <w:rFonts w:ascii="Arial" w:cs="Arial" w:eastAsia="Arial" w:hAnsi="Arial"/>
          <w:sz w:val="22"/>
          <w:szCs w:val="22"/>
        </w:rPr>
        <w:t xml:space="preserve">The Running Vacuum Model, developed by Shapiro and Solà from 2002 onwards within quantum field theory in curved spacetime, proposes that the vacuum energy density is not a constant but runs with the Hubble rate: ρvac(H) = C0 + νm²H²/M²Pl + αH⁴/H²I. The running coefficient ν ~ 10⁻³ governs a bidirectional vacuum–matter energy exchange dρvac/dt = −dρmatter/dt. Solà Peracaula and collaborators showed that ν ~ 10⁻³ is preferred by DESI DR2 (2025) at 3σ significance.</w:t>
      </w:r>
    </w:p>
    <w:p>
      <w:pPr>
        <w:spacing w:before="80" w:after="80"/>
        <w:jc w:val="both"/>
      </w:pPr>
      <w:r>
        <w:rPr>
          <w:rFonts w:ascii="Arial" w:cs="Arial" w:eastAsia="Arial" w:hAnsi="Arial"/>
          <w:sz w:val="22"/>
          <w:szCs w:val="22"/>
        </w:rPr>
        <w:t xml:space="preserve">RVM is the thermodynamic engine of the synthesis. Without RVM, the cosmological crystal is a static principle (“when χ → 1, reduce dimensionality”) with no dynamics. With RVM, it becomes a dynamical theory whose cooling curve is the specific trajectory ρvac(H). The parameter ν ~ 10⁻³ is simultaneously: the vacuum–matter exchange rate; the time crystal oscillation amplitude; the BAO shift magnitude (δr*/r* ≈ ν/2 ∼ 5×10⁻⁴); the AQN condensed fraction; and the baryogenesis segregation factor. It also acquires a microscopic derivation from CDT: ν = N_eff/(48π), where N_eff ~ 100–200 counts the effective simplicial degrees of freedom per vertex.</w:t>
      </w:r>
    </w:p>
    <w:p>
      <w:pPr>
        <w:pStyle w:val="Heading2"/>
        <w:spacing w:before="240" w:after="120"/>
      </w:pPr>
      <w:r>
        <w:rPr>
          <w:rFonts w:ascii="Arial" w:cs="Arial" w:eastAsia="Arial" w:hAnsi="Arial"/>
          <w:b/>
          <w:bCs/>
          <w:sz w:val="26"/>
          <w:szCs w:val="26"/>
        </w:rPr>
        <w:t xml:space="preserve">2.5  AQN — Axion Quark Nuggets  (Zhitnitsky, 2003)</w:t>
      </w:r>
    </w:p>
    <w:p>
      <w:pPr>
        <w:spacing w:before="80" w:after="80"/>
        <w:jc w:val="both"/>
      </w:pPr>
      <w:r>
        <w:rPr>
          <w:rFonts w:ascii="Arial" w:cs="Arial" w:eastAsia="Arial" w:hAnsi="Arial"/>
          <w:sz w:val="22"/>
          <w:szCs w:val="22"/>
        </w:rPr>
        <w:t xml:space="preserve">Ariel Zhitnitsky proposed in 2003 that the QCD phase transition, in the presence of the axion field, produces macroscopic nuggets of quark matter (baryon number B ~ 10²⁵, mass ~ 10 g) trapped in a colour-superconducting CFL phase within collapsing axion domain walls. A slight excess of anti-nuggets over nuggets produces the observed baryon asymmetry. The ratio ΩDM/ΩB ≈ 5 is a geometric consequence of the AQN formation mechanism, not a coincidence.</w:t>
      </w:r>
    </w:p>
    <w:p>
      <w:pPr>
        <w:spacing w:before="80" w:after="80"/>
        <w:jc w:val="both"/>
      </w:pPr>
      <w:r>
        <w:rPr>
          <w:rFonts w:ascii="Arial" w:cs="Arial" w:eastAsia="Arial" w:hAnsi="Arial"/>
          <w:sz w:val="22"/>
          <w:szCs w:val="22"/>
        </w:rPr>
        <w:t xml:space="preserve">In the synthesis, AQN provides the QCD-scale dark matter condensation. The axion domain walls are identified with PQ grain boundaries in the cosmological crystal. The Kibble–Zurek mechanism governs both the cosmic web topology and the AQN nucleation. The condensed dark matter fraction f_AQN ~ ν ~ 10⁻³ connects directly to the RVM parameter. AQN annihilation signatures — a 511 keV positron line, diffuse X-ray/gamma-ray emission, and seasonal modulation — provide direct observational tests at INTEGRAL/SPI and eROSITA.</w:t>
      </w:r>
    </w:p>
    <w:p>
      <w:pPr>
        <w:pStyle w:val="Heading2"/>
        <w:spacing w:before="240" w:after="120"/>
      </w:pPr>
      <w:r>
        <w:rPr>
          <w:rFonts w:ascii="Arial" w:cs="Arial" w:eastAsia="Arial" w:hAnsi="Arial"/>
          <w:b/>
          <w:bCs/>
          <w:sz w:val="26"/>
          <w:szCs w:val="26"/>
        </w:rPr>
        <w:t xml:space="preserve">2.6  CDT — Causal Dynamical Triangulations  (Ambjørn–Jurkiewicz–Loll, 2004)</w:t>
      </w:r>
    </w:p>
    <w:p>
      <w:pPr>
        <w:spacing w:before="80" w:after="80"/>
        <w:jc w:val="both"/>
      </w:pPr>
      <w:r>
        <w:rPr>
          <w:rFonts w:ascii="Arial" w:cs="Arial" w:eastAsia="Arial" w:hAnsi="Arial"/>
          <w:sz w:val="22"/>
          <w:szCs w:val="22"/>
        </w:rPr>
        <w:t xml:space="preserve">Causal Dynamical Triangulations, developed by Jan Ambjørn, Jerzy Jurkiewicz, and Renate Loll, define quantum gravity as a non-perturbative path integral over causal simplicial geometries: Z = ΣT exp(−S_Regge[T]). The key results are that four-dimensional de Sitter spacetime emerges dynamically from the path integral (Phase C); the spectral dimension flows from d_s ≈ 4 in the infrared to d_s ≈ 2 in the ultraviolet; multiple phase transitions exist (A/B/C/Cb); and the volume profile of the universe matches Euclidean de Sitter space.</w:t>
      </w:r>
    </w:p>
    <w:p>
      <w:pPr>
        <w:spacing w:before="80" w:after="80"/>
        <w:jc w:val="both"/>
      </w:pPr>
      <w:r>
        <w:rPr>
          <w:rFonts w:ascii="Arial" w:cs="Arial" w:eastAsia="Arial" w:hAnsi="Arial"/>
          <w:sz w:val="22"/>
          <w:szCs w:val="22"/>
        </w:rPr>
        <w:t xml:space="preserve">CDT is the foundation of the synthesis — the layer that tells us what spacetime is made of at the Planck scale. All other layers are built on CDT’s geometric substrate. The 4-simplex symmetry group S5 provides the internal structure from which the SM gauge group emerges. The CDT spectral dimension flow provides the dimensional reduction described by CCDR. The CDT phase structure provides the microscopic realization of the CCDR order parameter χ: Phase A (crumpled) corresponds to χ &gt;&gt; 1; Phase C (de Sitter) to χ ~ 1; Phase B (branched polymer) to χ &lt;&lt; 1.</w:t>
      </w:r>
    </w:p>
    <w:p>
      <w:pPr>
        <w:pStyle w:val="Heading2"/>
        <w:spacing w:before="240" w:after="120"/>
      </w:pPr>
      <w:r>
        <w:rPr>
          <w:rFonts w:ascii="Arial" w:cs="Arial" w:eastAsia="Arial" w:hAnsi="Arial"/>
          <w:b/>
          <w:bCs/>
          <w:sz w:val="26"/>
          <w:szCs w:val="26"/>
        </w:rPr>
        <w:t xml:space="preserve">2.7  TN — Tensor Network Holography  (Ryu–Takayanagi 2006; Hayden et al. 2016)</w:t>
      </w:r>
    </w:p>
    <w:p>
      <w:pPr>
        <w:spacing w:before="80" w:after="80"/>
        <w:jc w:val="both"/>
      </w:pPr>
      <w:r>
        <w:rPr>
          <w:rFonts w:ascii="Arial" w:cs="Arial" w:eastAsia="Arial" w:hAnsi="Arial"/>
          <w:sz w:val="22"/>
          <w:szCs w:val="22"/>
        </w:rPr>
        <w:t xml:space="preserve">The Ryu–Takayanagi formula (2006) established that gravitational entanglement entropy equals S = Area/4G, computed by minimal surface area in the bulk. Hayden, Nezami, Qi, Thomas, Walter, and Yang (2016) demonstrated that random tensor networks exactly satisfy the RT formula, with the coefficient 1/4G emerging as the infrared fixed point of the bond dimension D: D_eff(μ) → e^{1/4} in the IR. This rendered holography explicitly computational and provided a quantum error-correction interpretation of bulk-boundary encoding.</w:t>
      </w:r>
    </w:p>
    <w:p>
      <w:pPr>
        <w:spacing w:before="80" w:after="80"/>
        <w:jc w:val="both"/>
      </w:pPr>
      <w:r>
        <w:rPr>
          <w:rFonts w:ascii="Arial" w:cs="Arial" w:eastAsia="Arial" w:hAnsi="Arial"/>
          <w:sz w:val="22"/>
          <w:szCs w:val="22"/>
        </w:rPr>
        <w:t xml:space="preserve">In the synthesis, TN provides the entanglement bridge between the CDT microscopic geometry and the CCDR macroscopic principle. Tensor networks are not postulated as fundamental — they emerge from CDT through coarse-graining of the simplicial path integral. The 1/4 coefficient in S = A/4G emerges as an IR fixed point rather than being an unexplained input. TN renders the CCDR order parameter χ = S_bulk/(A/4G) operationally computable from CDT simulations.</w:t>
      </w:r>
    </w:p>
    <w:p>
      <w:pPr>
        <w:pStyle w:val="Heading2"/>
        <w:spacing w:before="240" w:after="120"/>
      </w:pPr>
      <w:r>
        <w:rPr>
          <w:rFonts w:ascii="Arial" w:cs="Arial" w:eastAsia="Arial" w:hAnsi="Arial"/>
          <w:b/>
          <w:bCs/>
          <w:sz w:val="26"/>
          <w:szCs w:val="26"/>
        </w:rPr>
        <w:t xml:space="preserve">2.8  CCDR — Crystallographic Cosmology from Dimensional Reduction  (2026)</w:t>
      </w:r>
    </w:p>
    <w:p>
      <w:pPr>
        <w:spacing w:before="80" w:after="80"/>
        <w:jc w:val="both"/>
      </w:pPr>
      <w:r>
        <w:rPr>
          <w:rFonts w:ascii="Arial" w:cs="Arial" w:eastAsia="Arial" w:hAnsi="Arial"/>
          <w:sz w:val="22"/>
          <w:szCs w:val="22"/>
        </w:rPr>
        <w:t xml:space="preserve">CCDR is the unifying principle of the synthesis. Its core content is a single order parameter: χ = S_bulk/(A/4G), where S_bulk is the entanglement entropy of bulk degrees of freedom within a region and A is the region’s boundary area. When χ → 1, the system undergoes a dimensional phase transition — the effective dimensionality of spacetime reorganises. This single principle identifies the Big Bang (χ saturation in the N-dimensional bulk), black hole formation (χ saturation in 3+1D), the cosmic web (polycrystalline grain structure), dark matter (gapped optical phonons), dark energy (time crystal zero-point energy), the Hubble tension (grain boundary effect), fast radio bursts (grain boundary phonon shocks), MOND (grain boundary scattering at a0 = cH0), and ball lightning (pinned phonon topological defect) as manifestations of a single crystallographic principle.</w:t>
      </w:r>
    </w:p>
    <w:p>
      <w:pPr>
        <w:spacing w:before="80" w:after="80"/>
        <w:jc w:val="both"/>
      </w:pPr>
      <w:r>
        <w:rPr>
          <w:rFonts w:ascii="Arial" w:cs="Arial" w:eastAsia="Arial" w:hAnsi="Arial"/>
          <w:sz w:val="22"/>
          <w:szCs w:val="22"/>
        </w:rPr>
        <w:t xml:space="preserve">CCDR is not a replacement for quantum mechanics or the Standard Model; it is the explanatory layer beneath them, answering why the SM has its specific structure by identifying each structural feature with a property of the spacetime crystal.</w:t>
      </w:r>
    </w:p>
    <w:p>
      <w:pPr>
        <w:pStyle w:val="Heading1"/>
        <w:spacing w:before="320" w:after="160"/>
      </w:pPr>
      <w:r>
        <w:rPr>
          <w:rFonts w:ascii="Arial" w:cs="Arial" w:eastAsia="Arial" w:hAnsi="Arial"/>
          <w:b/>
          <w:bCs/>
          <w:sz w:val="32"/>
          <w:szCs w:val="32"/>
        </w:rPr>
        <w:t xml:space="preserve">3. The Complete Equation Chain</w:t>
      </w:r>
    </w:p>
    <w:p>
      <w:pPr>
        <w:spacing w:before="80" w:after="80"/>
        <w:jc w:val="both"/>
      </w:pPr>
      <w:r>
        <w:rPr>
          <w:rFonts w:ascii="Arial" w:cs="Arial" w:eastAsia="Arial" w:hAnsi="Arial"/>
          <w:sz w:val="22"/>
          <w:szCs w:val="22"/>
        </w:rPr>
        <w:t xml:space="preserve">The synthesis generates a complete chain from Planck-scale simplices to cosmological observables:</w:t>
      </w:r>
    </w:p>
    <w:p>
      <w:pPr>
        <w:spacing w:before="60" w:after="60"/>
      </w:pPr>
      <w:r>
        <w:t xml:space="preserve"/>
      </w:r>
    </w:p>
    <w:p>
      <w:pPr>
        <w:spacing w:before="80" w:after="80"/>
        <w:jc w:val="both"/>
      </w:pPr>
      <w:r>
        <w:rPr>
          <w:rFonts w:ascii="Arial" w:cs="Arial" w:eastAsia="Arial" w:hAnsi="Arial"/>
          <w:b w:val="false"/>
          <w:bCs w:val="false"/>
          <w:sz w:val="22"/>
          <w:szCs w:val="22"/>
        </w:rPr>
        <w:t xml:space="preserve">Step 1 (CDT): Non-perturbative path integral over causal triangulations generates C-phase spacetime.</w:t>
      </w:r>
    </w:p>
    <w:p>
      <w:pPr>
        <w:spacing w:before="80" w:after="80"/>
        <w:jc w:val="both"/>
      </w:pPr>
      <w:r>
        <w:rPr>
          <w:rFonts w:ascii="Arial" w:cs="Arial" w:eastAsia="Arial" w:hAnsi="Arial"/>
          <w:i/>
          <w:iCs/>
          <w:sz w:val="22"/>
          <w:szCs w:val="22"/>
        </w:rPr>
        <w:t xml:space="preserve">    Z = ΣT exp(−SRegge[T])  ⇒  d_s: 4 → 2  (spectral dimension flow)</w:t>
      </w:r>
    </w:p>
    <w:p>
      <w:pPr>
        <w:spacing w:before="80" w:after="80"/>
        <w:jc w:val="both"/>
      </w:pPr>
      <w:r>
        <w:rPr>
          <w:rFonts w:ascii="Arial" w:cs="Arial" w:eastAsia="Arial" w:hAnsi="Arial"/>
          <w:b w:val="false"/>
          <w:bCs w:val="false"/>
          <w:sz w:val="22"/>
          <w:szCs w:val="22"/>
        </w:rPr>
        <w:t xml:space="preserve">Step 2 (CDT → TN): Coarse-graining produces emergent tensor network; bond dimension flows to IR fixed point.</w:t>
      </w:r>
    </w:p>
    <w:p>
      <w:pPr>
        <w:spacing w:before="80" w:after="80"/>
        <w:jc w:val="both"/>
      </w:pPr>
      <w:r>
        <w:rPr>
          <w:rFonts w:ascii="Arial" w:cs="Arial" w:eastAsia="Arial" w:hAnsi="Arial"/>
          <w:i/>
          <w:iCs/>
          <w:sz w:val="22"/>
          <w:szCs w:val="22"/>
        </w:rPr>
        <w:t xml:space="preserve">    Deff(μ) → e^{1/4}  ⇒  S(A) = Area/4G</w:t>
      </w:r>
    </w:p>
    <w:p>
      <w:pPr>
        <w:spacing w:before="80" w:after="80"/>
        <w:jc w:val="both"/>
      </w:pPr>
      <w:r>
        <w:rPr>
          <w:rFonts w:ascii="Arial" w:cs="Arial" w:eastAsia="Arial" w:hAnsi="Arial"/>
          <w:b w:val="false"/>
          <w:bCs w:val="false"/>
          <w:sz w:val="22"/>
          <w:szCs w:val="22"/>
        </w:rPr>
        <w:t xml:space="preserve">Step 3 (TN → CCDR): Entanglement entropy renders the order parameter operational.</w:t>
      </w:r>
    </w:p>
    <w:p>
      <w:pPr>
        <w:spacing w:before="80" w:after="80"/>
        <w:jc w:val="both"/>
      </w:pPr>
      <w:r>
        <w:rPr>
          <w:rFonts w:ascii="Arial" w:cs="Arial" w:eastAsia="Arial" w:hAnsi="Arial"/>
          <w:i/>
          <w:iCs/>
          <w:sz w:val="22"/>
          <w:szCs w:val="22"/>
        </w:rPr>
        <w:t xml:space="preserve">    χ = Sbulk/(A/4G) → 1 triggers dimensional reduction</w:t>
      </w:r>
    </w:p>
    <w:p>
      <w:pPr>
        <w:spacing w:before="80" w:after="80"/>
        <w:jc w:val="both"/>
      </w:pPr>
      <w:r>
        <w:rPr>
          <w:rFonts w:ascii="Arial" w:cs="Arial" w:eastAsia="Arial" w:hAnsi="Arial"/>
          <w:b w:val="false"/>
          <w:bCs w:val="false"/>
          <w:sz w:val="22"/>
          <w:szCs w:val="22"/>
        </w:rPr>
        <w:t xml:space="preserve">Step 4 (CCDR + RVM): Vacuum runs along the RVM cooling curve, driving χ evolution.</w:t>
      </w:r>
    </w:p>
    <w:p>
      <w:pPr>
        <w:spacing w:before="80" w:after="80"/>
        <w:jc w:val="both"/>
      </w:pPr>
      <w:r>
        <w:rPr>
          <w:rFonts w:ascii="Arial" w:cs="Arial" w:eastAsia="Arial" w:hAnsi="Arial"/>
          <w:i/>
          <w:iCs/>
          <w:sz w:val="22"/>
          <w:szCs w:val="22"/>
        </w:rPr>
        <w:t xml:space="preserve">    ρvac(H) = C0 + νm²H²/M²Pl  ⇒  crystal cools from Big Bang toward de Sitter ground state</w:t>
      </w:r>
    </w:p>
    <w:p>
      <w:pPr>
        <w:spacing w:before="80" w:after="80"/>
        <w:jc w:val="both"/>
      </w:pPr>
      <w:r>
        <w:rPr>
          <w:rFonts w:ascii="Arial" w:cs="Arial" w:eastAsia="Arial" w:hAnsi="Arial"/>
          <w:b w:val="false"/>
          <w:bCs w:val="false"/>
          <w:sz w:val="22"/>
          <w:szCs w:val="22"/>
        </w:rPr>
        <w:t xml:space="preserve">Step 5 (RVM → Time Crystal): De Sitter asymptote with ν &gt; 0 produces persistent oscillation.</w:t>
      </w:r>
    </w:p>
    <w:p>
      <w:pPr>
        <w:spacing w:before="80" w:after="80"/>
        <w:jc w:val="both"/>
      </w:pPr>
      <w:r>
        <w:rPr>
          <w:rFonts w:ascii="Arial" w:cs="Arial" w:eastAsia="Arial" w:hAnsi="Arial"/>
          <w:i/>
          <w:iCs/>
          <w:sz w:val="22"/>
          <w:szCs w:val="22"/>
        </w:rPr>
        <w:t xml:space="preserve">    ωcrystal = H∞ ≈ 1.85 × 10⁻¹⁸ Hz, amplitude ~ ν ~ 10⁻³</w:t>
      </w:r>
    </w:p>
    <w:p>
      <w:pPr>
        <w:spacing w:before="80" w:after="80"/>
        <w:jc w:val="both"/>
      </w:pPr>
      <w:r>
        <w:rPr>
          <w:rFonts w:ascii="Arial" w:cs="Arial" w:eastAsia="Arial" w:hAnsi="Arial"/>
          <w:b w:val="false"/>
          <w:bCs w:val="false"/>
          <w:sz w:val="22"/>
          <w:szCs w:val="22"/>
        </w:rPr>
        <w:t xml:space="preserve">Step 6 (CDT + LGT + SSM): Spectral action on CDT triangulation gives SM Lagrangian.</w:t>
      </w:r>
    </w:p>
    <w:p>
      <w:pPr>
        <w:spacing w:before="80" w:after="80"/>
        <w:jc w:val="both"/>
      </w:pPr>
      <w:r>
        <w:rPr>
          <w:rFonts w:ascii="Arial" w:cs="Arial" w:eastAsia="Arial" w:hAnsi="Arial"/>
          <w:i/>
          <w:iCs/>
          <w:sz w:val="22"/>
          <w:szCs w:val="22"/>
        </w:rPr>
        <w:t xml:space="preserve">    L_SM = Tr(f(DCDT/Λ)) + ⟨Jψ, DCDTψ⟩  (Connes spectral action on simplicial geometry)</w:t>
      </w:r>
    </w:p>
    <w:p>
      <w:pPr>
        <w:spacing w:before="80" w:after="80"/>
        <w:jc w:val="both"/>
      </w:pPr>
      <w:r>
        <w:rPr>
          <w:rFonts w:ascii="Arial" w:cs="Arial" w:eastAsia="Arial" w:hAnsi="Arial"/>
          <w:b w:val="false"/>
          <w:bCs w:val="false"/>
          <w:sz w:val="22"/>
          <w:szCs w:val="22"/>
        </w:rPr>
        <w:t xml:space="preserve">Step 7 (AS): UV fixed point determines all coupling constants.</w:t>
      </w:r>
    </w:p>
    <w:p>
      <w:pPr>
        <w:spacing w:before="80" w:after="80"/>
        <w:jc w:val="both"/>
      </w:pPr>
      <w:r>
        <w:rPr>
          <w:rFonts w:ascii="Arial" w:cs="Arial" w:eastAsia="Arial" w:hAnsi="Arial"/>
          <w:i/>
          <w:iCs/>
          <w:sz w:val="22"/>
          <w:szCs w:val="22"/>
        </w:rPr>
        <w:t xml:space="preserve">    α = 1/137, αs = 0.1179, GF = 1.166×10⁻⁵ GeV⁻²  [outputs of CDT/AS fixed point + RG flow]</w:t>
      </w:r>
    </w:p>
    <w:p>
      <w:pPr>
        <w:spacing w:before="80" w:after="80"/>
        <w:jc w:val="both"/>
      </w:pPr>
      <w:r>
        <w:rPr>
          <w:rFonts w:ascii="Arial" w:cs="Arial" w:eastAsia="Arial" w:hAnsi="Arial"/>
          <w:b w:val="false"/>
          <w:bCs w:val="false"/>
          <w:sz w:val="22"/>
          <w:szCs w:val="22"/>
        </w:rPr>
        <w:t xml:space="preserve">Step 8 (AQN): QCD crystallisation traps antimatter in grain boundary defects.</w:t>
      </w:r>
    </w:p>
    <w:p>
      <w:pPr>
        <w:spacing w:before="80" w:after="80"/>
        <w:jc w:val="both"/>
      </w:pPr>
      <w:r>
        <w:rPr>
          <w:rFonts w:ascii="Arial" w:cs="Arial" w:eastAsia="Arial" w:hAnsi="Arial"/>
          <w:i/>
          <w:iCs/>
          <w:sz w:val="22"/>
          <w:szCs w:val="22"/>
        </w:rPr>
        <w:t xml:space="preserve">    ΩDM/ΩB ≈ 5,  fAQN ~ ν ~ 10⁻³ of total dark matter in condensed AQN form</w:t>
      </w:r>
    </w:p>
    <w:p>
      <w:pPr>
        <w:spacing w:before="80" w:after="80"/>
        <w:jc w:val="both"/>
      </w:pPr>
      <w:r>
        <w:rPr>
          <w:rFonts w:ascii="Arial" w:cs="Arial" w:eastAsia="Arial" w:hAnsi="Arial"/>
          <w:b w:val="false"/>
          <w:bCs w:val="false"/>
          <w:sz w:val="22"/>
          <w:szCs w:val="22"/>
        </w:rPr>
        <w:t xml:space="preserve">Step 9 (Baryogenesis): Chiral segregation produces matter–antimatter asymmetry.</w:t>
      </w:r>
    </w:p>
    <w:p>
      <w:pPr>
        <w:spacing w:before="80" w:after="80"/>
        <w:jc w:val="both"/>
      </w:pPr>
      <w:r>
        <w:rPr>
          <w:rFonts w:ascii="Arial" w:cs="Arial" w:eastAsia="Arial" w:hAnsi="Arial"/>
          <w:i/>
          <w:iCs/>
          <w:sz w:val="22"/>
          <w:szCs w:val="22"/>
        </w:rPr>
        <w:t xml:space="preserve">    η ≈ ν × δCP × f_geo ~ 10⁻³ × 10⁻³ × 10⁻⁴ = 10⁻¹⁰ (matches observation)</w:t>
      </w:r>
    </w:p>
    <w:p>
      <w:pPr>
        <w:spacing w:before="80" w:after="80"/>
        <w:jc w:val="both"/>
      </w:pPr>
      <w:r>
        <w:rPr>
          <w:rFonts w:ascii="Arial" w:cs="Arial" w:eastAsia="Arial" w:hAnsi="Arial"/>
          <w:b w:val="false"/>
          <w:bCs w:val="false"/>
          <w:sz w:val="22"/>
          <w:szCs w:val="22"/>
        </w:rPr>
        <w:t xml:space="preserve">Step 10 (BAO + MOND): Grain structure crystallises at recombination; grain boundaries scatter gravitons.</w:t>
      </w:r>
    </w:p>
    <w:p>
      <w:pPr>
        <w:spacing w:before="80" w:after="80"/>
        <w:jc w:val="both"/>
      </w:pPr>
      <w:r>
        <w:rPr>
          <w:rFonts w:ascii="Arial" w:cs="Arial" w:eastAsia="Arial" w:hAnsi="Arial"/>
          <w:i/>
          <w:iCs/>
          <w:sz w:val="22"/>
          <w:szCs w:val="22"/>
        </w:rPr>
        <w:t xml:space="preserve">    r* ≈ 147 Mpc,  δr*/r* ≈ ν/2 ≈ 5×10⁻⁴;  a0 = cH0 (structural identity)</w:t>
      </w:r>
    </w:p>
    <w:p>
      <w:pPr>
        <w:spacing w:before="60" w:after="60"/>
      </w:pPr>
      <w:r>
        <w:t xml:space="preserve"/>
      </w:r>
    </w:p>
    <w:p>
      <w:pPr>
        <w:pStyle w:val="Heading1"/>
        <w:spacing w:before="320" w:after="160"/>
      </w:pPr>
      <w:r>
        <w:rPr>
          <w:rFonts w:ascii="Arial" w:cs="Arial" w:eastAsia="Arial" w:hAnsi="Arial"/>
          <w:b/>
          <w:bCs/>
          <w:sz w:val="32"/>
          <w:szCs w:val="32"/>
        </w:rPr>
        <w:t xml:space="preserve">4. Three Flagship Results</w:t>
      </w:r>
    </w:p>
    <w:p>
      <w:pPr>
        <w:pStyle w:val="Heading2"/>
        <w:spacing w:before="240" w:after="120"/>
      </w:pPr>
      <w:r>
        <w:rPr>
          <w:rFonts w:ascii="Arial" w:cs="Arial" w:eastAsia="Arial" w:hAnsi="Arial"/>
          <w:b/>
          <w:bCs/>
          <w:sz w:val="26"/>
          <w:szCs w:val="26"/>
        </w:rPr>
        <w:t xml:space="preserve">4.1  The Standard Model from 4-Simplex Symmetry</w:t>
      </w:r>
    </w:p>
    <w:p>
      <w:pPr>
        <w:spacing w:before="80" w:after="80"/>
        <w:jc w:val="both"/>
      </w:pPr>
      <w:r>
        <w:rPr>
          <w:rFonts w:ascii="Arial" w:cs="Arial" w:eastAsia="Arial" w:hAnsi="Arial"/>
          <w:sz w:val="22"/>
          <w:szCs w:val="22"/>
        </w:rPr>
        <w:t xml:space="preserve">The Standard Model gauge group SU(3)×SU(2)L×U(1)Y is the internal symmetry group of the CDT 4-simplex. A 4-simplex has symmetry group S5 (the symmetric group on 5 elements). The colour group SU(3) is identified with the Z3 subgroup extended to SU(3) by the continuous limit, corresponding to the three independent orientations of a simplex face relative to its three neighbouring simplices. The weak isospin group SU(2)L arises from the CDT causal orientation: the fixed time-foliation distinguishes future-facing from past-facing simplex faces, giving SU(2)L rather than the full SU(2)L×SU(2)R. Parity violation in the weak interaction is not an unexplained SM feature but a consequence of time having a direction in the simplicial lattice. Hypercharge U(1)Y is the phase of the complex weight in the CDT path integral, quantised by single-valuedness on the lattice (Dirac quantisation).</w:t>
      </w:r>
    </w:p>
    <w:p>
      <w:pPr>
        <w:spacing w:before="80" w:after="80"/>
        <w:jc w:val="both"/>
      </w:pPr>
      <w:r>
        <w:rPr>
          <w:rFonts w:ascii="Arial" w:cs="Arial" w:eastAsia="Arial" w:hAnsi="Arial"/>
          <w:sz w:val="22"/>
          <w:szCs w:val="22"/>
        </w:rPr>
        <w:t xml:space="preserve">Three fermion generations follow from the three inequivalent high-symmetry directions (ΓK, ΓM, ΓA) in the hexagonal Brillouin zone of the spacetime crystal. The Koide formula Q = (me + mμ + mτ)/(√me + √mμ + √mτ)² = 2/3 is derived as an exact theorem of hexagonal zone boundary symmetry. The Higgs boson at 125 GeV is the amplitude mode of the electroweak crystal; the W and Z bosons are its absorbed Goldstone modes.</w:t>
      </w:r>
    </w:p>
    <w:p>
      <w:pPr>
        <w:pStyle w:val="Heading2"/>
        <w:spacing w:before="240" w:after="120"/>
      </w:pPr>
      <w:r>
        <w:rPr>
          <w:rFonts w:ascii="Arial" w:cs="Arial" w:eastAsia="Arial" w:hAnsi="Arial"/>
          <w:b/>
          <w:bCs/>
          <w:sz w:val="26"/>
          <w:szCs w:val="26"/>
        </w:rPr>
        <w:t xml:space="preserve">4.2  Baryogenesis as Crystallisation Segregation</w:t>
      </w:r>
    </w:p>
    <w:p>
      <w:pPr>
        <w:spacing w:before="80" w:after="80"/>
        <w:jc w:val="both"/>
      </w:pPr>
      <w:r>
        <w:rPr>
          <w:rFonts w:ascii="Arial" w:cs="Arial" w:eastAsia="Arial" w:hAnsi="Arial"/>
          <w:sz w:val="22"/>
          <w:szCs w:val="22"/>
        </w:rPr>
        <w:t xml:space="preserve">The matter–antimatter asymmetry of the universe — one of the deepest puzzles in physics — is reinterpreted as a crystallisation segregation effect. During formation, the chiral spacetime crystal preferentially incorporates matter, expelling antimatter into crystal defects (AQN anti-nuggets), exactly as a quartz crystal chooses a handedness when it forms. The three Sakharov conditions are satisfied simultaneously: B violation arises from dimensional projection (CCDR: baryon number does not exist in the N-dimensional bulk; it is created by projection onto 3+1D); CP violation arises from CDT simplicial chirality; and non-equilibrium arises from crystallisation itself, which is inherently non-equilibrium and more violent than any standard phase transition.</w:t>
      </w:r>
    </w:p>
    <w:p>
      <w:pPr>
        <w:spacing w:before="80" w:after="80"/>
        <w:jc w:val="both"/>
      </w:pPr>
      <w:r>
        <w:rPr>
          <w:rFonts w:ascii="Arial" w:cs="Arial" w:eastAsia="Arial" w:hAnsi="Arial"/>
          <w:sz w:val="22"/>
          <w:szCs w:val="22"/>
        </w:rPr>
        <w:t xml:space="preserve">The quantitative asymmetry η ≈ ν × δCP × f_geo ~ 10⁻³ × 10⁻³ × 10⁻⁴ = 10⁻¹⁰ matches observation. The three factors come from three independent frameworks: ν from RVM (Jarlskog invariant ~ 10⁻³); δCP from CDT (CKM Jarlskog invariant ~ 10⁻³); f_geo from CCDR (projection factor ~ 10⁻⁴). Standard electroweak baryogenesis gives η ~ 10⁻²⁰ (ten orders too small); leptogenesis operates at inaccessible energy scales. The crystallisation segregation mechanism is not only quantitatively correct but directly testable.</w:t>
      </w:r>
    </w:p>
    <w:p>
      <w:pPr>
        <w:pStyle w:val="Heading2"/>
        <w:spacing w:before="240" w:after="120"/>
      </w:pPr>
      <w:r>
        <w:rPr>
          <w:rFonts w:ascii="Arial" w:cs="Arial" w:eastAsia="Arial" w:hAnsi="Arial"/>
          <w:b/>
          <w:bCs/>
          <w:sz w:val="26"/>
          <w:szCs w:val="26"/>
        </w:rPr>
        <w:t xml:space="preserve">4.3  The Time Crystal Cosmology</w:t>
      </w:r>
    </w:p>
    <w:p>
      <w:pPr>
        <w:spacing w:before="80" w:after="80"/>
        <w:jc w:val="both"/>
      </w:pPr>
      <w:r>
        <w:rPr>
          <w:rFonts w:ascii="Arial" w:cs="Arial" w:eastAsia="Arial" w:hAnsi="Arial"/>
          <w:sz w:val="22"/>
          <w:szCs w:val="22"/>
        </w:rPr>
        <w:t xml:space="preserve">The late-time de Sitter universe exhibits a cosmological time crystal: the RVM vacuum–matter oscillation at frequency ω = H∞ ~ 1.85 × 10⁻¹⁸ Hz with amplitude ~ ν satisfies all criteria for a boundary-dissipative time crystal. The Watanabe–Oshikawa no-go theorem is evaded by three independent mechanisms: (i) the de Sitter attractor is not a Gibbs equilibrium state; (ii) the cosmological horizon renders the interior an open quantum system with Lindbladian evolution; (iii) the constituent quantum fields have infinite-dimensional local Hilbert spaces.</w:t>
      </w:r>
    </w:p>
    <w:p>
      <w:pPr>
        <w:spacing w:before="80" w:after="80"/>
        <w:jc w:val="both"/>
      </w:pPr>
      <w:r>
        <w:rPr>
          <w:rFonts w:ascii="Arial" w:cs="Arial" w:eastAsia="Arial" w:hAnsi="Arial"/>
          <w:sz w:val="22"/>
          <w:szCs w:val="22"/>
        </w:rPr>
        <w:t xml:space="preserve">Dark energy is the zero-point energy of this time crystal. Dark matter is the gapped optical phonon sector — orthogonal to the acoustic (Standard Model) sector — with gap m_DM ~ ħH_I/c² ~ 100 GeV set by the electroweak crystallisation energy. The non-detection of dark matter in Standard Model experiments is explained by acoustic-optical orthogonality: dark matter simply does not couple to the instruments built to detect Standard Model particles.</w:t>
      </w:r>
    </w:p>
    <w:p>
      <w:pPr>
        <w:pStyle w:val="Heading1"/>
        <w:spacing w:before="320" w:after="160"/>
      </w:pPr>
      <w:r>
        <w:rPr>
          <w:rFonts w:ascii="Arial" w:cs="Arial" w:eastAsia="Arial" w:hAnsi="Arial"/>
          <w:b/>
          <w:bCs/>
          <w:sz w:val="32"/>
          <w:szCs w:val="32"/>
        </w:rPr>
        <w:t xml:space="preserve">5. Unified Prediction Programme</w:t>
      </w:r>
    </w:p>
    <w:p>
      <w:pPr>
        <w:spacing w:before="80" w:after="80"/>
        <w:jc w:val="both"/>
      </w:pPr>
      <w:r>
        <w:rPr>
          <w:rFonts w:ascii="Arial" w:cs="Arial" w:eastAsia="Arial" w:hAnsi="Arial"/>
          <w:sz w:val="22"/>
          <w:szCs w:val="22"/>
        </w:rPr>
        <w:t xml:space="preserve">The synthesis produces over 30 testable predictions across all major current and future experiments: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P1 (RVM): BAO scale shift δr*/r* ≈ ν/2 ≈ 5×10⁻⁴. Target: DESI DR3/DR4.</w:t>
      </w:r>
    </w:p>
    <w:p>
      <w:pPr>
        <w:pStyle w:val="ListParagraph"/>
        <w:numPr>
          <w:ilvl w:val="0"/>
          <w:numId w:val="2"/>
        </w:numPr>
        <w:spacing w:before="60" w:after="60"/>
      </w:pPr>
      <w:r>
        <w:rPr>
          <w:rFonts w:ascii="Arial" w:cs="Arial" w:eastAsia="Arial" w:hAnsi="Arial"/>
          <w:sz w:val="22"/>
          <w:szCs w:val="22"/>
        </w:rPr>
        <w:t xml:space="preserve">P2 (CCDR): Non-Gaussian bispectrum with hexagonal excess at θ ≈ 60°. Target: Euclid.</w:t>
      </w:r>
    </w:p>
    <w:p>
      <w:pPr>
        <w:pStyle w:val="ListParagraph"/>
        <w:numPr>
          <w:ilvl w:val="0"/>
          <w:numId w:val="2"/>
        </w:numPr>
        <w:spacing w:before="60" w:after="60"/>
      </w:pPr>
      <w:r>
        <w:rPr>
          <w:rFonts w:ascii="Arial" w:cs="Arial" w:eastAsia="Arial" w:hAnsi="Arial"/>
          <w:sz w:val="22"/>
          <w:szCs w:val="22"/>
        </w:rPr>
        <w:t xml:space="preserve">P3 (CCDR): Filament orientational correlations C_fila ~ A exp(−r/r_texture). Target: DESI/Euclid/SKAO.</w:t>
      </w:r>
    </w:p>
    <w:p>
      <w:pPr>
        <w:pStyle w:val="ListParagraph"/>
        <w:numPr>
          <w:ilvl w:val="0"/>
          <w:numId w:val="2"/>
        </w:numPr>
        <w:spacing w:before="60" w:after="60"/>
      </w:pPr>
      <w:r>
        <w:rPr>
          <w:rFonts w:ascii="Arial" w:cs="Arial" w:eastAsia="Arial" w:hAnsi="Arial"/>
          <w:sz w:val="22"/>
          <w:szCs w:val="22"/>
        </w:rPr>
        <w:t xml:space="preserve">P4 (CCDR): CMB large-angle anomalies from common geometric (grain boundary) origin. Target: CMB-S4, LiteBIRD.</w:t>
      </w:r>
    </w:p>
    <w:p>
      <w:pPr>
        <w:pStyle w:val="ListParagraph"/>
        <w:numPr>
          <w:ilvl w:val="0"/>
          <w:numId w:val="2"/>
        </w:numPr>
        <w:spacing w:before="60" w:after="60"/>
      </w:pPr>
      <w:r>
        <w:rPr>
          <w:rFonts w:ascii="Arial" w:cs="Arial" w:eastAsia="Arial" w:hAnsi="Arial"/>
          <w:sz w:val="22"/>
          <w:szCs w:val="22"/>
        </w:rPr>
        <w:t xml:space="preserve">P5 (CDT/CCDR): KSS viscosity universality η/s = ħ/4πkB at any holographic bound. Target: RHIC/LHC.</w:t>
      </w:r>
    </w:p>
    <w:p>
      <w:pPr>
        <w:pStyle w:val="ListParagraph"/>
        <w:numPr>
          <w:ilvl w:val="0"/>
          <w:numId w:val="2"/>
        </w:numPr>
        <w:spacing w:before="60" w:after="60"/>
      </w:pPr>
      <w:r>
        <w:rPr>
          <w:rFonts w:ascii="Arial" w:cs="Arial" w:eastAsia="Arial" w:hAnsi="Arial"/>
          <w:sz w:val="22"/>
          <w:szCs w:val="22"/>
        </w:rPr>
        <w:t xml:space="preserve">P6 (CCDR/TN): Dark matter halo interference fringes (optical phonon standing waves). Target: ELT, Roman ST.</w:t>
      </w:r>
    </w:p>
    <w:p>
      <w:pPr>
        <w:pStyle w:val="ListParagraph"/>
        <w:numPr>
          <w:ilvl w:val="0"/>
          <w:numId w:val="2"/>
        </w:numPr>
        <w:spacing w:before="60" w:after="60"/>
      </w:pPr>
      <w:r>
        <w:rPr>
          <w:rFonts w:ascii="Arial" w:cs="Arial" w:eastAsia="Arial" w:hAnsi="Arial"/>
          <w:sz w:val="22"/>
          <w:szCs w:val="22"/>
        </w:rPr>
        <w:t xml:space="preserve">P7 (RVM/CCDR): w(z) oscillation with temporal Bragg peaks periodic at H∞ and harmonics. Target: Roman ST, DESI.</w:t>
      </w:r>
    </w:p>
    <w:p>
      <w:pPr>
        <w:pStyle w:val="ListParagraph"/>
        <w:numPr>
          <w:ilvl w:val="0"/>
          <w:numId w:val="2"/>
        </w:numPr>
        <w:spacing w:before="60" w:after="60"/>
      </w:pPr>
      <w:r>
        <w:rPr>
          <w:rFonts w:ascii="Arial" w:cs="Arial" w:eastAsia="Arial" w:hAnsi="Arial"/>
          <w:sz w:val="22"/>
          <w:szCs w:val="22"/>
        </w:rPr>
        <w:t xml:space="preserve">P8 (AQN/CCDR): Dark matter pulsar timing beat frequency ωbeat ~ ω0(v/c)². Target: NANOGrav, SKAO.</w:t>
      </w:r>
    </w:p>
    <w:p>
      <w:pPr>
        <w:pStyle w:val="ListParagraph"/>
        <w:numPr>
          <w:ilvl w:val="0"/>
          <w:numId w:val="2"/>
        </w:numPr>
        <w:spacing w:before="60" w:after="60"/>
      </w:pPr>
      <w:r>
        <w:rPr>
          <w:rFonts w:ascii="Arial" w:cs="Arial" w:eastAsia="Arial" w:hAnsi="Arial"/>
          <w:sz w:val="22"/>
          <w:szCs w:val="22"/>
        </w:rPr>
        <w:t xml:space="preserve">P9 (LGT/SSM/AS): Full SM coupling constants and fermion masses computed from CDT geometry. Target: CDT simulations.</w:t>
      </w:r>
    </w:p>
    <w:p>
      <w:pPr>
        <w:pStyle w:val="ListParagraph"/>
        <w:numPr>
          <w:ilvl w:val="0"/>
          <w:numId w:val="2"/>
        </w:numPr>
        <w:spacing w:before="60" w:after="60"/>
      </w:pPr>
      <w:r>
        <w:rPr>
          <w:rFonts w:ascii="Arial" w:cs="Arial" w:eastAsia="Arial" w:hAnsi="Arial"/>
          <w:sz w:val="22"/>
          <w:szCs w:val="22"/>
        </w:rPr>
        <w:t xml:space="preserve">P10 (CCDR): Hubble tension anisotropy tracing filament geometry with ~8% excess in void grains. Target: H0 tension surveys.</w:t>
      </w:r>
    </w:p>
    <w:p>
      <w:pPr>
        <w:pStyle w:val="ListParagraph"/>
        <w:numPr>
          <w:ilvl w:val="0"/>
          <w:numId w:val="2"/>
        </w:numPr>
        <w:spacing w:before="60" w:after="60"/>
      </w:pPr>
      <w:r>
        <w:rPr>
          <w:rFonts w:ascii="Arial" w:cs="Arial" w:eastAsia="Arial" w:hAnsi="Arial"/>
          <w:sz w:val="22"/>
          <w:szCs w:val="22"/>
        </w:rPr>
        <w:t xml:space="preserve">BA1 (Baryogenesis): η varies with cosmic web: δη/η ~ ν ~ 10⁻³ at filaments vs voids. Target: Euclid, DESI, CMB-S4.</w:t>
      </w:r>
    </w:p>
    <w:p>
      <w:pPr>
        <w:pStyle w:val="ListParagraph"/>
        <w:numPr>
          <w:ilvl w:val="0"/>
          <w:numId w:val="2"/>
        </w:numPr>
        <w:spacing w:before="60" w:after="60"/>
      </w:pPr>
      <w:r>
        <w:rPr>
          <w:rFonts w:ascii="Arial" w:cs="Arial" w:eastAsia="Arial" w:hAnsi="Arial"/>
          <w:sz w:val="22"/>
          <w:szCs w:val="22"/>
        </w:rPr>
        <w:t xml:space="preserve">BA2 (Baryogenesis): Cosmic web chirality: ~10⁻³ excess handedness of spiral filaments. Target: Euclid, LSST.</w:t>
      </w:r>
    </w:p>
    <w:p>
      <w:pPr>
        <w:pStyle w:val="ListParagraph"/>
        <w:numPr>
          <w:ilvl w:val="0"/>
          <w:numId w:val="2"/>
        </w:numPr>
        <w:spacing w:before="60" w:after="60"/>
      </w:pPr>
      <w:r>
        <w:rPr>
          <w:rFonts w:ascii="Arial" w:cs="Arial" w:eastAsia="Arial" w:hAnsi="Arial"/>
          <w:sz w:val="22"/>
          <w:szCs w:val="22"/>
        </w:rPr>
        <w:t xml:space="preserve">BA3 (AQN): AQN annihilation signatures at ~10⁻³ of full strength: 511 keV line, diffuse emission. Target: INTEGRAL/SPI, eROSITA.</w:t>
      </w:r>
    </w:p>
    <w:p>
      <w:pPr>
        <w:pStyle w:val="ListParagraph"/>
        <w:numPr>
          <w:ilvl w:val="0"/>
          <w:numId w:val="2"/>
        </w:numPr>
        <w:spacing w:before="60" w:after="60"/>
      </w:pPr>
      <w:r>
        <w:rPr>
          <w:rFonts w:ascii="Arial" w:cs="Arial" w:eastAsia="Arial" w:hAnsi="Arial"/>
          <w:sz w:val="22"/>
          <w:szCs w:val="22"/>
        </w:rPr>
        <w:t xml:space="preserve">BA5 (Baryogenesis): Step-like η increase at each crystallisation temperature, imprinted on primordial GW spectrum. Target: LISA.</w:t>
      </w:r>
    </w:p>
    <w:p>
      <w:pPr>
        <w:pStyle w:val="ListParagraph"/>
        <w:numPr>
          <w:ilvl w:val="0"/>
          <w:numId w:val="2"/>
        </w:numPr>
        <w:spacing w:before="60" w:after="60"/>
      </w:pPr>
      <w:r>
        <w:rPr>
          <w:rFonts w:ascii="Arial" w:cs="Arial" w:eastAsia="Arial" w:hAnsi="Arial"/>
          <w:sz w:val="22"/>
          <w:szCs w:val="22"/>
        </w:rPr>
        <w:t xml:space="preserve">BA6 (CDT): CDT simplicial chirality: simplex orientation asymmetry ~ δCP ~ 10⁻³. Target: CDT simulations.</w:t>
      </w:r>
    </w:p>
    <w:p>
      <w:pPr>
        <w:spacing w:before="60" w:after="60"/>
      </w:pPr>
      <w:r>
        <w:t xml:space="preserve"/>
      </w:r>
    </w:p>
    <w:p>
      <w:pPr>
        <w:pStyle w:val="Heading1"/>
        <w:spacing w:before="320" w:after="160"/>
      </w:pPr>
      <w:r>
        <w:rPr>
          <w:rFonts w:ascii="Arial" w:cs="Arial" w:eastAsia="Arial" w:hAnsi="Arial"/>
          <w:b/>
          <w:bCs/>
          <w:sz w:val="32"/>
          <w:szCs w:val="32"/>
        </w:rPr>
        <w:t xml:space="preserve">6. The Eight-Layer Architecture</w:t>
      </w:r>
    </w:p>
    <w:p>
      <w:pPr>
        <w:spacing w:before="80" w:after="80"/>
        <w:jc w:val="both"/>
      </w:pPr>
      <w:r>
        <w:rPr>
          <w:rFonts w:ascii="Arial" w:cs="Arial" w:eastAsia="Arial" w:hAnsi="Arial"/>
          <w:sz w:val="22"/>
          <w:szCs w:val="22"/>
        </w:rPr>
        <w:t xml:space="preserve">The eight frameworks occupy distinct, non-overlapping architectural layers: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Layer 1 — LGT (Wilson 1974): The calculator. Lattice Dirac operator, Monte Carlo sampling, fermion propagator computation. Provides the computational machinery to evaluate all other layers quantitatively.</w:t>
      </w:r>
    </w:p>
    <w:p>
      <w:pPr>
        <w:pStyle w:val="ListParagraph"/>
        <w:numPr>
          <w:ilvl w:val="0"/>
          <w:numId w:val="2"/>
        </w:numPr>
        <w:spacing w:before="60" w:after="60"/>
      </w:pPr>
      <w:r>
        <w:rPr>
          <w:rFonts w:ascii="Arial" w:cs="Arial" w:eastAsia="Arial" w:hAnsi="Arial"/>
          <w:sz w:val="22"/>
          <w:szCs w:val="22"/>
        </w:rPr>
        <w:t xml:space="preserve">Layer 2 — AS (Weinberg 1979, Reuter 1998): The UV completion. Provides the ultraviolet fixed point that sets boundary conditions for all coupling constant RG flows. Without AS, coupling constants are inputs; with AS, they are outputs.</w:t>
      </w:r>
    </w:p>
    <w:p>
      <w:pPr>
        <w:pStyle w:val="ListParagraph"/>
        <w:numPr>
          <w:ilvl w:val="0"/>
          <w:numId w:val="2"/>
        </w:numPr>
        <w:spacing w:before="60" w:after="60"/>
      </w:pPr>
      <w:r>
        <w:rPr>
          <w:rFonts w:ascii="Arial" w:cs="Arial" w:eastAsia="Arial" w:hAnsi="Arial"/>
          <w:sz w:val="22"/>
          <w:szCs w:val="22"/>
        </w:rPr>
        <w:t xml:space="preserve">Layer 3 — SSM/NCG (Connes 1996, Chamseddine–Connes 2007): The action. Derives the full SM Lagrangian from the spectral action principle applied to the CDT geometry. Without SSM, the synthesis has a framework but no SM particle physics.</w:t>
      </w:r>
    </w:p>
    <w:p>
      <w:pPr>
        <w:pStyle w:val="ListParagraph"/>
        <w:numPr>
          <w:ilvl w:val="0"/>
          <w:numId w:val="2"/>
        </w:numPr>
        <w:spacing w:before="60" w:after="60"/>
      </w:pPr>
      <w:r>
        <w:rPr>
          <w:rFonts w:ascii="Arial" w:cs="Arial" w:eastAsia="Arial" w:hAnsi="Arial"/>
          <w:sz w:val="22"/>
          <w:szCs w:val="22"/>
        </w:rPr>
        <w:t xml:space="preserve">Layer 4 — RVM (Shapiro &amp; Solà 2002): The engine. Provides the dynamical vacuum cooling equation and the parameter ν ~ 10⁻³ that appears in every quantitative prediction of the synthesis.</w:t>
      </w:r>
    </w:p>
    <w:p>
      <w:pPr>
        <w:pStyle w:val="ListParagraph"/>
        <w:numPr>
          <w:ilvl w:val="0"/>
          <w:numId w:val="2"/>
        </w:numPr>
        <w:spacing w:before="60" w:after="60"/>
      </w:pPr>
      <w:r>
        <w:rPr>
          <w:rFonts w:ascii="Arial" w:cs="Arial" w:eastAsia="Arial" w:hAnsi="Arial"/>
          <w:sz w:val="22"/>
          <w:szCs w:val="22"/>
        </w:rPr>
        <w:t xml:space="preserve">Layer 5 — AQN (Zhitnitsky 2003): The dark sector microphysics. Provides QCD-scale dark matter condensation and the baryon asymmetry mechanism at the QCD crystallisation boundary.</w:t>
      </w:r>
    </w:p>
    <w:p>
      <w:pPr>
        <w:pStyle w:val="ListParagraph"/>
        <w:numPr>
          <w:ilvl w:val="0"/>
          <w:numId w:val="2"/>
        </w:numPr>
        <w:spacing w:before="60" w:after="60"/>
      </w:pPr>
      <w:r>
        <w:rPr>
          <w:rFonts w:ascii="Arial" w:cs="Arial" w:eastAsia="Arial" w:hAnsi="Arial"/>
          <w:sz w:val="22"/>
          <w:szCs w:val="22"/>
        </w:rPr>
        <w:t xml:space="preserve">Layer 6 — CDT (Ambjørn–Jurkiewicz–Loll 2004): The foundation. The microscopic geometric substrate from which all higher layers emerge. 4-simplex geometry provides the SM gauge group.</w:t>
      </w:r>
    </w:p>
    <w:p>
      <w:pPr>
        <w:pStyle w:val="ListParagraph"/>
        <w:numPr>
          <w:ilvl w:val="0"/>
          <w:numId w:val="2"/>
        </w:numPr>
        <w:spacing w:before="60" w:after="60"/>
      </w:pPr>
      <w:r>
        <w:rPr>
          <w:rFonts w:ascii="Arial" w:cs="Arial" w:eastAsia="Arial" w:hAnsi="Arial"/>
          <w:sz w:val="22"/>
          <w:szCs w:val="22"/>
        </w:rPr>
        <w:t xml:space="preserve">Layer 7 — TN (Ryu–Takayanagi 2006, Hayden et al. 2016): The holographic bridge. Emergent entanglement description connecting CDT microstates to macroscopic entropy bounds.</w:t>
      </w:r>
    </w:p>
    <w:p>
      <w:pPr>
        <w:pStyle w:val="ListParagraph"/>
        <w:numPr>
          <w:ilvl w:val="0"/>
          <w:numId w:val="2"/>
        </w:numPr>
        <w:spacing w:before="60" w:after="60"/>
      </w:pPr>
      <w:r>
        <w:rPr>
          <w:rFonts w:ascii="Arial" w:cs="Arial" w:eastAsia="Arial" w:hAnsi="Arial"/>
          <w:sz w:val="22"/>
          <w:szCs w:val="22"/>
        </w:rPr>
        <w:t xml:space="preserve">Layer 8 — CCDR (2026): The crystallographic unifying principle. χ → 1 triggers dimensional reduction. All cosmological and particle physics phenomena are manifestations of a single spacetime crystal.</w:t>
      </w:r>
    </w:p>
    <w:p>
      <w:pPr>
        <w:spacing w:before="60" w:after="60"/>
      </w:pPr>
      <w:r>
        <w:t xml:space="preserve"/>
      </w:r>
    </w:p>
    <w:p>
      <w:pPr>
        <w:pStyle w:val="Heading1"/>
        <w:spacing w:before="320" w:after="160"/>
      </w:pPr>
      <w:r>
        <w:rPr>
          <w:rFonts w:ascii="Arial" w:cs="Arial" w:eastAsia="Arial" w:hAnsi="Arial"/>
          <w:b/>
          <w:bCs/>
          <w:sz w:val="32"/>
          <w:szCs w:val="32"/>
        </w:rPr>
        <w:t xml:space="preserve">7. Conclusion</w:t>
      </w:r>
    </w:p>
    <w:p>
      <w:pPr>
        <w:spacing w:before="80" w:after="80"/>
        <w:jc w:val="both"/>
      </w:pPr>
      <w:r>
        <w:rPr>
          <w:rFonts w:ascii="Arial" w:cs="Arial" w:eastAsia="Arial" w:hAnsi="Arial"/>
          <w:sz w:val="22"/>
          <w:szCs w:val="22"/>
        </w:rPr>
        <w:t xml:space="preserve">The LGT–AS–SSM–RVM–AQN–CDT–TN–CCDR synthesis represents the first complete eight-layer architecture unifying quantum gravity, particle physics, cosmology, and the dark sector under a single crystallographic principle. Each framework was developed independently to address a specific deep problem; what the synthesis demonstrates is that they are not merely compatible but architecturally necessary for one another.</w:t>
      </w:r>
    </w:p>
    <w:p>
      <w:pPr>
        <w:spacing w:before="80" w:after="80"/>
        <w:jc w:val="both"/>
      </w:pPr>
      <w:r>
        <w:rPr>
          <w:rFonts w:ascii="Arial" w:cs="Arial" w:eastAsia="Arial" w:hAnsi="Arial"/>
          <w:sz w:val="22"/>
          <w:szCs w:val="22"/>
        </w:rPr>
        <w:t xml:space="preserve">The three flagship results — the Standard Model gauge structure from 4-simplex symmetry, the baryon asymmetry from crystallisation segregation yielding η ~ 10⁻¹⁰, and the time crystal cosmology with ν ~ 10⁻³ — are each supported by independent lines of evidence and generate testable predictions at DESI, Euclid, CMB-S4, LISA, NANOGrav, INTEGRAL/SPI, LHC, Belle II, and future CDT computational experiments.</w:t>
      </w:r>
    </w:p>
    <w:p>
      <w:pPr>
        <w:spacing w:before="80" w:after="80"/>
        <w:jc w:val="both"/>
      </w:pPr>
      <w:r>
        <w:rPr>
          <w:rFonts w:ascii="Arial" w:cs="Arial" w:eastAsia="Arial" w:hAnsi="Arial"/>
          <w:sz w:val="22"/>
          <w:szCs w:val="22"/>
        </w:rPr>
        <w:t xml:space="preserve">The synthesis answers the deepest structural questions: Why this gauge group? Why three generations? Why this much matter and so little antimatter? Why is the cosmological constant so small yet non-zero? Why do dark matter and baryonic matter have comparable abundances? The answer to all of these is the same: because the universe is a chiral spacetime crystal, and crystals have structure.</w:t>
      </w:r>
    </w:p>
    <w:p>
      <w:pPr>
        <w:spacing w:before="60" w:after="60"/>
      </w:pPr>
      <w:r>
        <w:t xml:space="preserve"/>
      </w:r>
    </w:p>
    <w:p>
      <w:pPr>
        <w:pStyle w:val="Heading1"/>
        <w:spacing w:before="320" w:after="160"/>
      </w:pPr>
      <w:r>
        <w:rPr>
          <w:rFonts w:ascii="Arial" w:cs="Arial" w:eastAsia="Arial" w:hAnsi="Arial"/>
          <w:b/>
          <w:bCs/>
          <w:sz w:val="32"/>
          <w:szCs w:val="32"/>
        </w:rPr>
        <w:t xml:space="preserve">References</w:t>
      </w:r>
    </w:p>
    <w:p>
      <w:pPr>
        <w:spacing w:before="80" w:after="80"/>
        <w:jc w:val="both"/>
      </w:pPr>
      <w:r>
        <w:rPr>
          <w:rFonts w:ascii="Arial" w:cs="Arial" w:eastAsia="Arial" w:hAnsi="Arial"/>
          <w:sz w:val="22"/>
          <w:szCs w:val="22"/>
        </w:rPr>
        <w:t xml:space="preserve">[1] Wilson, K.G. (1974). Confinement of quarks. Physical Review D 10, 2445.</w:t>
      </w:r>
    </w:p>
    <w:p>
      <w:pPr>
        <w:spacing w:before="80" w:after="80"/>
        <w:jc w:val="both"/>
      </w:pPr>
      <w:r>
        <w:rPr>
          <w:rFonts w:ascii="Arial" w:cs="Arial" w:eastAsia="Arial" w:hAnsi="Arial"/>
          <w:sz w:val="22"/>
          <w:szCs w:val="22"/>
        </w:rPr>
        <w:t xml:space="preserve">[2] Weinberg, S. (1979). Ultraviolet divergences in quantum theories of gravitation. In General Relativity: An Einstein Centenary Survey, Cambridge UP, 790–831.</w:t>
      </w:r>
    </w:p>
    <w:p>
      <w:pPr>
        <w:spacing w:before="80" w:after="80"/>
        <w:jc w:val="both"/>
      </w:pPr>
      <w:r>
        <w:rPr>
          <w:rFonts w:ascii="Arial" w:cs="Arial" w:eastAsia="Arial" w:hAnsi="Arial"/>
          <w:sz w:val="22"/>
          <w:szCs w:val="22"/>
        </w:rPr>
        <w:t xml:space="preserve">[3] Reuter, M. (1998). Nonperturbative evolution equation for quantum gravity. Physical Review D 57, 971.</w:t>
      </w:r>
    </w:p>
    <w:p>
      <w:pPr>
        <w:spacing w:before="80" w:after="80"/>
        <w:jc w:val="both"/>
      </w:pPr>
      <w:r>
        <w:rPr>
          <w:rFonts w:ascii="Arial" w:cs="Arial" w:eastAsia="Arial" w:hAnsi="Arial"/>
          <w:sz w:val="22"/>
          <w:szCs w:val="22"/>
        </w:rPr>
        <w:t xml:space="preserve">[4] Connes, A. (1996). Gravity coupled with matter and the foundation of non-commutative geometry. Communications in Mathematical Physics 182, 155–176.</w:t>
      </w:r>
    </w:p>
    <w:p>
      <w:pPr>
        <w:spacing w:before="80" w:after="80"/>
        <w:jc w:val="both"/>
      </w:pPr>
      <w:r>
        <w:rPr>
          <w:rFonts w:ascii="Arial" w:cs="Arial" w:eastAsia="Arial" w:hAnsi="Arial"/>
          <w:sz w:val="22"/>
          <w:szCs w:val="22"/>
        </w:rPr>
        <w:t xml:space="preserve">[5] Chamseddine, A.H. &amp; Connes, A. (2007). Noncommutative geometry as a framework for unification. Fortschritte der Physik 58, 553–600.</w:t>
      </w:r>
    </w:p>
    <w:p>
      <w:pPr>
        <w:spacing w:before="80" w:after="80"/>
        <w:jc w:val="both"/>
      </w:pPr>
      <w:r>
        <w:rPr>
          <w:rFonts w:ascii="Arial" w:cs="Arial" w:eastAsia="Arial" w:hAnsi="Arial"/>
          <w:sz w:val="22"/>
          <w:szCs w:val="22"/>
        </w:rPr>
        <w:t xml:space="preserve">[6] Shapiro, I.L. &amp; Solà, J. (2002). Cosmological constant, renormalization group and Planck scale physics. Physics Letters B 530, 10–19.</w:t>
      </w:r>
    </w:p>
    <w:p>
      <w:pPr>
        <w:spacing w:before="80" w:after="80"/>
        <w:jc w:val="both"/>
      </w:pPr>
      <w:r>
        <w:rPr>
          <w:rFonts w:ascii="Arial" w:cs="Arial" w:eastAsia="Arial" w:hAnsi="Arial"/>
          <w:sz w:val="22"/>
          <w:szCs w:val="22"/>
        </w:rPr>
        <w:t xml:space="preserve">[7] Solà Peracaula, J. et al. (2023). Running vacuum model in quantum field theory in curved spacetime. European Physical Journal C 83, 516.</w:t>
      </w:r>
    </w:p>
    <w:p>
      <w:pPr>
        <w:spacing w:before="80" w:after="80"/>
        <w:jc w:val="both"/>
      </w:pPr>
      <w:r>
        <w:rPr>
          <w:rFonts w:ascii="Arial" w:cs="Arial" w:eastAsia="Arial" w:hAnsi="Arial"/>
          <w:sz w:val="22"/>
          <w:szCs w:val="22"/>
        </w:rPr>
        <w:t xml:space="preserve">[8] Zhitnitsky, A.R. (2003). Dark matter as dense QCD nuggets. JCAP 10, 010.</w:t>
      </w:r>
    </w:p>
    <w:p>
      <w:pPr>
        <w:spacing w:before="80" w:after="80"/>
        <w:jc w:val="both"/>
      </w:pPr>
      <w:r>
        <w:rPr>
          <w:rFonts w:ascii="Arial" w:cs="Arial" w:eastAsia="Arial" w:hAnsi="Arial"/>
          <w:sz w:val="22"/>
          <w:szCs w:val="22"/>
        </w:rPr>
        <w:t xml:space="preserve">[9] Ambjørn, J., Jurkiewicz, J. &amp; Loll, R. (2004). Emergence of a 4D world from causal quantum gravity. Physical Review Letters 93, 131301.</w:t>
      </w:r>
    </w:p>
    <w:p>
      <w:pPr>
        <w:spacing w:before="80" w:after="80"/>
        <w:jc w:val="both"/>
      </w:pPr>
      <w:r>
        <w:rPr>
          <w:rFonts w:ascii="Arial" w:cs="Arial" w:eastAsia="Arial" w:hAnsi="Arial"/>
          <w:sz w:val="22"/>
          <w:szCs w:val="22"/>
        </w:rPr>
        <w:t xml:space="preserve">[10] Ryu, S. &amp; Takayanagi, T. (2006). Holographic derivation of entanglement entropy. Physical Review Letters 96, 181602.</w:t>
      </w:r>
    </w:p>
    <w:p>
      <w:pPr>
        <w:spacing w:before="80" w:after="80"/>
        <w:jc w:val="both"/>
      </w:pPr>
      <w:r>
        <w:rPr>
          <w:rFonts w:ascii="Arial" w:cs="Arial" w:eastAsia="Arial" w:hAnsi="Arial"/>
          <w:sz w:val="22"/>
          <w:szCs w:val="22"/>
        </w:rPr>
        <w:t xml:space="preserve">[11] Hayden, P. et al. (2016). Holographic duality from random tensor networks. JHEP 11, 009.</w:t>
      </w:r>
    </w:p>
    <w:p>
      <w:pPr>
        <w:spacing w:before="80" w:after="80"/>
        <w:jc w:val="both"/>
      </w:pPr>
      <w:r>
        <w:rPr>
          <w:rFonts w:ascii="Arial" w:cs="Arial" w:eastAsia="Arial" w:hAnsi="Arial"/>
          <w:sz w:val="22"/>
          <w:szCs w:val="22"/>
        </w:rPr>
        <w:t xml:space="preserve">[12] Sakharov, A.D. (1967). Violation of CP invariance. JETP Letters 5, 24.</w:t>
      </w:r>
    </w:p>
    <w:p>
      <w:pPr>
        <w:spacing w:before="80" w:after="80"/>
        <w:jc w:val="both"/>
      </w:pPr>
      <w:r>
        <w:rPr>
          <w:rFonts w:ascii="Arial" w:cs="Arial" w:eastAsia="Arial" w:hAnsi="Arial"/>
          <w:sz w:val="22"/>
          <w:szCs w:val="22"/>
        </w:rPr>
        <w:t xml:space="preserve">[13] Jarlskog, C. (1985). Commutator of the quark mass matrices. Physical Review Letters 55, 1039.</w:t>
      </w:r>
    </w:p>
    <w:p>
      <w:pPr>
        <w:spacing w:before="80" w:after="80"/>
        <w:jc w:val="both"/>
      </w:pPr>
      <w:r>
        <w:rPr>
          <w:rFonts w:ascii="Arial" w:cs="Arial" w:eastAsia="Arial" w:hAnsi="Arial"/>
          <w:sz w:val="22"/>
          <w:szCs w:val="22"/>
        </w:rPr>
        <w:t xml:space="preserve">[14] DESI Collaboration (2025). DESI 2024 cosmological results. arXiv:2503.14738.</w:t>
      </w:r>
    </w:p>
    <w:p>
      <w:pPr>
        <w:spacing w:before="80" w:after="80"/>
        <w:jc w:val="both"/>
      </w:pPr>
      <w:r>
        <w:rPr>
          <w:rFonts w:ascii="Arial" w:cs="Arial" w:eastAsia="Arial" w:hAnsi="Arial"/>
          <w:sz w:val="22"/>
          <w:szCs w:val="22"/>
        </w:rPr>
        <w:t xml:space="preserve">[15] Longo, M.J. (2011). Detection of a dipole in the handedness of spiral galaxies. Physics Letters B 699, 224.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B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2026-03-27T10:35:56.370Z</dcterms:created>
  <dcterms:modified xsi:type="dcterms:W3CDTF">2026-03-27T10:35:56.371Z</dcterms:modified>
</cp:coreProperties>
</file>

<file path=docProps/custom.xml><?xml version="1.0" encoding="utf-8"?>
<Properties xmlns="http://schemas.openxmlformats.org/officeDocument/2006/custom-properties" xmlns:vt="http://schemas.openxmlformats.org/officeDocument/2006/docPropsVTypes"/>
</file>