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Georgia" w:cs="Georgia" w:eastAsia="Georgia" w:hAnsi="Georgia"/>
          <w:b/>
          <w:bCs/>
          <w:color w:val="1A3A6A"/>
          <w:sz w:val="42"/>
          <w:szCs w:val="42"/>
        </w:rPr>
        <w:t xml:space="preserve">Solar Wind, Magnetic Field, and Aurora</w:t>
      </w:r>
    </w:p>
    <w:p>
      <w:pPr>
        <w:spacing w:before="0" w:after="60"/>
        <w:jc w:val="center"/>
      </w:pPr>
      <w:r>
        <w:rPr>
          <w:rFonts w:ascii="Georgia" w:cs="Georgia" w:eastAsia="Georgia" w:hAnsi="Georgia"/>
          <w:b/>
          <w:bCs/>
          <w:color w:val="2C5F8A"/>
          <w:sz w:val="26"/>
          <w:szCs w:val="26"/>
        </w:rPr>
        <w:t xml:space="preserve">A CCDR Analysis of Helicity Transfer Across the Heliosphere</w:t>
      </w:r>
    </w:p>
    <w:p>
      <w:pPr>
        <w:spacing w:before="0" w:after="60"/>
        <w:jc w:val="center"/>
      </w:pPr>
      <w:r>
        <w:rPr>
          <w:rFonts w:ascii="Palatino Linotype" w:cs="Palatino Linotype" w:eastAsia="Palatino Linotype" w:hAnsi="Palatino Linotype"/>
          <w:color w:val="555555"/>
          <w:sz w:val="20"/>
          <w:szCs w:val="20"/>
        </w:rPr>
        <w:t xml:space="preserve">Author: Dmytro Rakovskyi · March 2026 · CCDR Version 6 · github.com/rakovpublic/jneopallium</w:t>
      </w:r>
    </w:p>
    <w:p>
      <w:pPr>
        <w:spacing w:before="0" w:after="80"/>
        <w:jc w:val="center"/>
      </w:pPr>
      <w:r>
        <w:rPr>
          <w:rFonts w:ascii="Palatino Linotype" w:cs="Palatino Linotype" w:eastAsia="Palatino Linotype" w:hAnsi="Palatino Linotype"/>
          <w:i/>
          <w:iCs/>
          <w:color w:val="666666"/>
          <w:sz w:val="18"/>
          <w:szCs w:val="18"/>
        </w:rPr>
        <w:t xml:space="preserve">Keywords: solar wind · magnetic reconnection · aurora · helicity transfer · CCDR · optical phonon · acoustic phonon condensate · substorm · Birkeland currents · CME · KSS bound · topological soliton · Parker spiral · magnetotail</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Abstract</w:t>
      </w:r>
    </w:p>
    <w:p>
      <w:pPr>
        <w:spacing w:before="80" w:after="80"/>
      </w:pPr>
      <w:r>
        <w:rPr>
          <w:rFonts w:ascii="Palatino Linotype" w:cs="Palatino Linotype" w:eastAsia="Palatino Linotype" w:hAnsi="Palatino Linotype"/>
          <w:sz w:val="22"/>
          <w:szCs w:val="22"/>
        </w:rPr>
        <w:t xml:space="preserve">Standard physics describes the solar wind → magnetosphere → aurora chain as energy and particle transfer. CCDR redescribes it as topological charge transfer: the solar wind carries helicity from the Sun’s acoustic phonon condensate to Earth’s acoustic phonon condensate. The aurora is where that topological charge is deposited — nucleating the same optical phonon mode as ball lightning, but extended over thousands of kilometres.</w:t>
      </w:r>
    </w:p>
    <w:p>
      <w:pPr>
        <w:spacing w:before="60" w:after="60"/>
      </w:pPr>
    </w:p>
    <w:p>
      <w:pPr>
        <w:spacing w:before="80" w:after="80"/>
      </w:pPr>
      <w:r>
        <w:rPr>
          <w:rFonts w:ascii="Palatino Linotype" w:cs="Palatino Linotype" w:eastAsia="Palatino Linotype" w:hAnsi="Palatino Linotype"/>
          <w:sz w:val="22"/>
          <w:szCs w:val="22"/>
        </w:rPr>
        <w:t xml:space="preserve">We derive: (1) The solar wind as a helicity current defined by the Parker spiral winding; (2) Magnetic reconnection as the maximum-rate helicity transfer event between condensates of opposite chirality; (3) The magnetotail as a helicity battery accumulating topological charge; (4) The substorm as a topological soliton propagating at Alfvén speed; (5) Birkeland currents as the phonon Hall effect helicity transport channel; (6) Aurora as extended optical phonon mode nucleation. Eight testable predictions are tabulated, each distinguishing CCDR from standard MHD.</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1. The Central CCDR Reframing</w:t>
      </w:r>
    </w:p>
    <w:p>
      <w:pPr>
        <w:spacing w:before="80" w:after="80"/>
      </w:pPr>
      <w:r>
        <w:rPr>
          <w:rFonts w:ascii="Palatino Linotype" w:cs="Palatino Linotype" w:eastAsia="Palatino Linotype" w:hAnsi="Palatino Linotype"/>
          <w:sz w:val="22"/>
          <w:szCs w:val="22"/>
        </w:rPr>
        <w:t xml:space="preserve">Standard physics describes the solar wind → magnetosphere → aurora chain as energy and particle transfer: the solar wind compresses the magnetosphere, reconnection allows particles to enter, currents flow along field lines, particles precipitate into the ionosphere and excite atmospheric atoms.</w:t>
      </w:r>
    </w:p>
    <w:p>
      <w:pPr>
        <w:spacing w:before="60" w:after="60"/>
      </w:pPr>
    </w:p>
    <w:p>
      <w:pPr>
        <w:spacing w:before="80" w:after="80"/>
      </w:pPr>
      <w:r>
        <w:rPr>
          <w:rFonts w:ascii="Palatino Linotype" w:cs="Palatino Linotype" w:eastAsia="Palatino Linotype" w:hAnsi="Palatino Linotype"/>
          <w:sz w:val="22"/>
          <w:szCs w:val="22"/>
        </w:rPr>
        <w:t xml:space="preserve">CCDR describes the same chain as topological charge transfer. Every step in the chain is a phonon process. Every observable — aurora brightness, substorm timing, Birkeland current structure, geomagnetic storm intensity — is a measurable property of that phonon process.</w:t>
      </w:r>
    </w:p>
    <w:p>
      <w:pPr>
        <w:spacing w:before="60" w:after="60"/>
      </w:pPr>
    </w:p>
    <w:p>
      <w:pPr>
        <w:spacing w:before="80" w:after="80"/>
      </w:pPr>
      <w:r>
        <w:rPr>
          <w:rFonts w:ascii="Palatino Linotype" w:cs="Palatino Linotype" w:eastAsia="Palatino Linotype" w:hAnsi="Palatino Linotype"/>
          <w:sz w:val="22"/>
          <w:szCs w:val="22"/>
        </w:rPr>
        <w:t xml:space="preserve">The key quantity is not energy or particle flux. It is helicity: H_mag = ∫A·B d³x. The solar wind carries helicity from the Sun’s acoustic phonon condensate to Earth’s acoustic phonon condensate. Aurora is where that topological charge is deposited — nucleating the same optical phonon mode as ball lightning, extended over thousands of kilometres.</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2. The Solar Wind as a Helicity Current</w:t>
      </w:r>
    </w:p>
    <w:p>
      <w:pPr>
        <w:spacing w:before="80" w:after="80"/>
      </w:pPr>
      <w:r>
        <w:rPr>
          <w:rFonts w:ascii="Palatino Linotype" w:cs="Palatino Linotype" w:eastAsia="Palatino Linotype" w:hAnsi="Palatino Linotype"/>
          <w:sz w:val="22"/>
          <w:szCs w:val="22"/>
        </w:rPr>
        <w:t xml:space="preserve">The solar wind is a supersonic flow of acoustic phonon excitations (protons, electrons, alpha particles) at 400–800 km/s. It carries the interplanetary magnetic field (IMF) — the Sun’s topological defect of the acoustic phonon vacuum, advected outward.</w:t>
      </w:r>
    </w:p>
    <w:p>
      <w:pPr>
        <w:spacing w:before="60" w:after="60"/>
      </w:pPr>
    </w:p>
    <w:p>
      <w:pPr>
        <w:spacing w:before="80" w:after="80"/>
      </w:pPr>
      <w:r>
        <w:rPr>
          <w:rFonts w:ascii="Palatino Linotype" w:cs="Palatino Linotype" w:eastAsia="Palatino Linotype" w:hAnsi="Palatino Linotype"/>
          <w:sz w:val="22"/>
          <w:szCs w:val="22"/>
        </w:rPr>
        <w:t xml:space="preserve">The IMF is wound into an Archimedean spiral by the Sun’s rotation (the Parker spiral). This spiral structure has non-zero magnetic helicity. The solar wind is therefore a helicity current flowing outward from the Sun at 400–800 km/s — a river of topological charge crossing the heliosphere.</w:t>
      </w:r>
    </w:p>
    <w:p>
      <w:pPr>
        <w:spacing w:before="60" w:after="60"/>
      </w:pPr>
    </w:p>
    <w:p>
      <w:pPr>
        <w:spacing w:before="100" w:after="100"/>
      </w:pPr>
      <w:r>
        <w:rPr>
          <w:rFonts w:ascii="Courier New" w:cs="Courier New" w:eastAsia="Courier New" w:hAnsi="Courier New"/>
          <w:color w:val="1A4A7A"/>
          <w:sz w:val="20"/>
          <w:szCs w:val="20"/>
        </w:rPr>
        <w:t xml:space="preserve">Solar wind helicity current density: J_hel = A · B</w:t>
      </w:r>
    </w:p>
    <w:p>
      <w:pPr>
        <w:spacing w:before="100" w:after="100"/>
      </w:pPr>
      <w:r>
        <w:rPr>
          <w:rFonts w:ascii="Courier New" w:cs="Courier New" w:eastAsia="Courier New" w:hAnsi="Courier New"/>
          <w:color w:val="1A4A7A"/>
          <w:sz w:val="20"/>
          <w:szCs w:val="20"/>
        </w:rPr>
        <w:t xml:space="preserve">Integrated over a 1 AU sphere:</w:t>
      </w:r>
    </w:p>
    <w:p>
      <w:pPr>
        <w:spacing w:before="100" w:after="100"/>
      </w:pPr>
      <w:r>
        <w:rPr>
          <w:rFonts w:ascii="Courier New" w:cs="Courier New" w:eastAsia="Courier New" w:hAnsi="Courier New"/>
          <w:color w:val="1A4A7A"/>
          <w:sz w:val="20"/>
          <w:szCs w:val="20"/>
        </w:rPr>
        <w:t xml:space="preserve">H_solar ~ 10²³ Wb²m/yr  (three orders of magnitude larger than Earth’s helicity budget)</w:t>
      </w:r>
    </w:p>
    <w:p>
      <w:pPr>
        <w:spacing w:before="60" w:after="60"/>
      </w:pPr>
    </w:p>
    <w:p>
      <w:pPr>
        <w:spacing w:before="100" w:after="100"/>
      </w:pPr>
      <w:r>
        <w:rPr>
          <w:rFonts w:ascii="Courier New" w:cs="Courier New" w:eastAsia="Courier New" w:hAnsi="Courier New"/>
          <w:color w:val="1A4A7A"/>
          <w:sz w:val="20"/>
          <w:szCs w:val="20"/>
        </w:rPr>
        <w:t xml:space="preserve">Parker spiral pitch angle:</w:t>
      </w:r>
    </w:p>
    <w:p>
      <w:pPr>
        <w:spacing w:before="100" w:after="100"/>
      </w:pPr>
      <w:r>
        <w:rPr>
          <w:rFonts w:ascii="Courier New" w:cs="Courier New" w:eastAsia="Courier New" w:hAnsi="Courier New"/>
          <w:color w:val="1A4A7A"/>
          <w:sz w:val="20"/>
          <w:szCs w:val="20"/>
        </w:rPr>
        <w:t xml:space="preserve">tan(α) = Ω_Sun · r / v_sw</w:t>
      </w:r>
    </w:p>
    <w:p>
      <w:pPr>
        <w:spacing w:before="100" w:after="100"/>
      </w:pPr>
      <w:r>
        <w:rPr>
          <w:rFonts w:ascii="Courier New" w:cs="Courier New" w:eastAsia="Courier New" w:hAnsi="Courier New"/>
          <w:color w:val="1A4A7A"/>
          <w:sz w:val="20"/>
          <w:szCs w:val="20"/>
        </w:rPr>
        <w:t xml:space="preserve">At v_sw = 400 km/s at 1 AU:  α ≈ 45°  →  left-handed helicity</w:t>
      </w:r>
    </w:p>
    <w:p>
      <w:pPr>
        <w:spacing w:before="60" w:after="60"/>
      </w:pPr>
    </w:p>
    <w:p>
      <w:pPr>
        <w:spacing w:before="80" w:after="80"/>
      </w:pPr>
      <w:r>
        <w:rPr>
          <w:rFonts w:ascii="Palatino Linotype" w:cs="Palatino Linotype" w:eastAsia="Palatino Linotype" w:hAnsi="Palatino Linotype"/>
          <w:sz w:val="22"/>
          <w:szCs w:val="22"/>
        </w:rPr>
        <w:t xml:space="preserve">Prediction S1: Aurora intensity should correlate with the helicity of the arriving solar wind IMF, not just its southward component (Bz). Two solar wind streams with identical southward Bz but different helicities — one tightly wound Parker spiral, one loosely wound — should produce different aurora intensities. Standard MHD predicts identical aurora for identical Bz regardless of IMF winding.</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3. Magnetic Reconnection as Helicity Transfer</w:t>
      </w:r>
    </w:p>
    <w:p>
      <w:pPr>
        <w:spacing w:before="80" w:after="80"/>
      </w:pPr>
      <w:r>
        <w:rPr>
          <w:rFonts w:ascii="Palatino Linotype" w:cs="Palatino Linotype" w:eastAsia="Palatino Linotype" w:hAnsi="Palatino Linotype"/>
          <w:sz w:val="22"/>
          <w:szCs w:val="22"/>
        </w:rPr>
        <w:t xml:space="preserve">When the solar wind’s IMF meets Earth’s magnetosphere at the dayside magnetopause, reconnection occurs preferentially when the IMF points southward. Standard physics explains this geometrically: antiparallel fields reconnect because the magnetic pressure gradient drives them together.</w:t>
      </w:r>
    </w:p>
    <w:p>
      <w:pPr>
        <w:spacing w:before="60" w:after="60"/>
      </w:pPr>
    </w:p>
    <w:p>
      <w:pPr>
        <w:spacing w:before="80" w:after="80"/>
      </w:pPr>
      <w:r>
        <w:rPr>
          <w:rFonts w:ascii="Palatino Linotype" w:cs="Palatino Linotype" w:eastAsia="Palatino Linotype" w:hAnsi="Palatino Linotype"/>
          <w:sz w:val="22"/>
          <w:szCs w:val="22"/>
        </w:rPr>
        <w:t xml:space="preserve">CCDR provides the underlying reason: antiparallel fields have opposite helicity signs. Maximum topological charge mismatch between two phonon condensates maximises the rate of helicity transfer between them. Reconnection is not primarily a geometric accident of field line topology — it is the maximum-rate topological charge transfer event between two acoustic phonon condensates with opposite helicity.</w:t>
      </w:r>
    </w:p>
    <w:p>
      <w:pPr>
        <w:spacing w:before="60" w:after="60"/>
      </w:pPr>
    </w:p>
    <w:p>
      <w:pPr>
        <w:spacing w:before="100" w:after="100"/>
      </w:pPr>
      <w:r>
        <w:rPr>
          <w:rFonts w:ascii="Courier New" w:cs="Courier New" w:eastAsia="Courier New" w:hAnsi="Courier New"/>
          <w:color w:val="1A4A7A"/>
          <w:sz w:val="20"/>
          <w:szCs w:val="20"/>
        </w:rPr>
        <w:t xml:space="preserve">Reconnection rate in CCDR:</w:t>
      </w:r>
    </w:p>
    <w:p>
      <w:pPr>
        <w:spacing w:before="100" w:after="100"/>
      </w:pPr>
      <w:r>
        <w:rPr>
          <w:rFonts w:ascii="Courier New" w:cs="Courier New" w:eastAsia="Courier New" w:hAnsi="Courier New"/>
          <w:color w:val="1A4A7A"/>
          <w:sz w:val="20"/>
          <w:szCs w:val="20"/>
        </w:rPr>
        <w:t xml:space="preserve">R_rec ~ (H_solar / H_Earth) · (v_A / v_sw)² · σ_helicity</w:t>
      </w:r>
    </w:p>
    <w:p>
      <w:pPr>
        <w:spacing w:before="100" w:after="100"/>
      </w:pPr>
      <w:r>
        <w:rPr>
          <w:rFonts w:ascii="Courier New" w:cs="Courier New" w:eastAsia="Courier New" w:hAnsi="Courier New"/>
          <w:color w:val="1A4A7A"/>
          <w:sz w:val="20"/>
          <w:szCs w:val="20"/>
        </w:rPr>
        <w:t xml:space="preserve">σ_helicity = |H_IMF · ĥ_Earth| / (|H_IMF| · |H_Earth|)</w:t>
      </w:r>
    </w:p>
    <w:p>
      <w:pPr>
        <w:spacing w:before="100" w:after="100"/>
      </w:pPr>
      <w:r>
        <w:rPr>
          <w:rFonts w:ascii="Courier New" w:cs="Courier New" w:eastAsia="Courier New" w:hAnsi="Courier New"/>
          <w:color w:val="1A4A7A"/>
          <w:sz w:val="20"/>
          <w:szCs w:val="20"/>
        </w:rPr>
        <w:t xml:space="preserve">         = 1 for antiparallel (maximum reconnection)</w:t>
      </w:r>
    </w:p>
    <w:p>
      <w:pPr>
        <w:spacing w:before="100" w:after="100"/>
      </w:pPr>
      <w:r>
        <w:rPr>
          <w:rFonts w:ascii="Courier New" w:cs="Courier New" w:eastAsia="Courier New" w:hAnsi="Courier New"/>
          <w:color w:val="1A4A7A"/>
          <w:sz w:val="20"/>
          <w:szCs w:val="20"/>
        </w:rPr>
        <w:t xml:space="preserve">         = 0 for parallel (closed magnetosphere)</w:t>
      </w:r>
    </w:p>
    <w:p>
      <w:pPr>
        <w:spacing w:before="60" w:after="60"/>
      </w:pPr>
    </w:p>
    <w:p>
      <w:pPr>
        <w:spacing w:before="80" w:after="80"/>
      </w:pPr>
      <w:r>
        <w:rPr>
          <w:rFonts w:ascii="Palatino Linotype" w:cs="Palatino Linotype" w:eastAsia="Palatino Linotype" w:hAnsi="Palatino Linotype"/>
          <w:sz w:val="22"/>
          <w:szCs w:val="22"/>
        </w:rPr>
        <w:t xml:space="preserve">When the IMF is northward (parallel to Earth’s dipole), reconnection stops and the magnetosphere closes — not because of any geometric argument, but because the helicity mismatch is zero, topological charge cannot transfer, and the phonon condensates remain decoupled.</w:t>
      </w:r>
    </w:p>
    <w:p>
      <w:pPr>
        <w:spacing w:before="60" w:after="60"/>
      </w:pPr>
    </w:p>
    <w:p>
      <w:pPr>
        <w:spacing w:before="80" w:after="80"/>
      </w:pPr>
      <w:r>
        <w:rPr>
          <w:rFonts w:ascii="Palatino Linotype" w:cs="Palatino Linotype" w:eastAsia="Palatino Linotype" w:hAnsi="Palatino Linotype"/>
          <w:sz w:val="22"/>
          <w:szCs w:val="22"/>
        </w:rPr>
        <w:t xml:space="preserve">Prediction S2: The reconnection rate should show a secondary dependence on the helicity magnitude of the IMF — independent of field strength. A weaker IMF with higher helicity density should reconnect faster than a stronger IMF with lower helicity density, at the same southward Bz.</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4. Helicity Accumulation in the Magnetotail</w:t>
      </w:r>
    </w:p>
    <w:p>
      <w:pPr>
        <w:spacing w:before="80" w:after="80"/>
      </w:pPr>
      <w:r>
        <w:rPr>
          <w:rFonts w:ascii="Palatino Linotype" w:cs="Palatino Linotype" w:eastAsia="Palatino Linotype" w:hAnsi="Palatino Linotype"/>
          <w:sz w:val="22"/>
          <w:szCs w:val="22"/>
        </w:rPr>
        <w:t xml:space="preserve">Reconnected field lines are swept to the nightside, forming the magnetotail extending 200–300 Earth radii downstream. In standard physics: reconnected field lines store magnetic energy released in substorms. In CCDR: the magnetotail is a stretched region of Earth’s acoustic phonon condensate where helicity density continuously increases as the solar wind delivers topological charge through dayside reconnection.</w:t>
      </w:r>
    </w:p>
    <w:p>
      <w:pPr>
        <w:spacing w:before="60" w:after="60"/>
      </w:pPr>
    </w:p>
    <w:p>
      <w:pPr>
        <w:spacing w:before="80" w:after="80"/>
      </w:pPr>
      <w:r>
        <w:rPr>
          <w:rFonts w:ascii="Palatino Linotype" w:cs="Palatino Linotype" w:eastAsia="Palatino Linotype" w:hAnsi="Palatino Linotype"/>
          <w:sz w:val="22"/>
          <w:szCs w:val="22"/>
        </w:rPr>
        <w:t xml:space="preserve">The magnetotail behaves as a phonon condensate driven toward its critical helicity density — the threshold for spontaneous symmetry breaking. This is directly analogous to how the geodynamo works in CCDR: when helicity density in the liquid outer core exceeds the condensation threshold, the condensate spontaneously orders into the dipole. In the magnetotail, the same process operates on a timescale of hours.</w:t>
      </w:r>
    </w:p>
    <w:p>
      <w:pPr>
        <w:spacing w:before="60" w:after="60"/>
      </w:pPr>
    </w:p>
    <w:p>
      <w:pPr>
        <w:spacing w:before="100" w:after="100"/>
      </w:pPr>
      <w:r>
        <w:rPr>
          <w:rFonts w:ascii="Courier New" w:cs="Courier New" w:eastAsia="Courier New" w:hAnsi="Courier New"/>
          <w:color w:val="1A4A7A"/>
          <w:sz w:val="20"/>
          <w:szCs w:val="20"/>
        </w:rPr>
        <w:t xml:space="preserve">Magnetotail helicity accumulation:</w:t>
      </w:r>
    </w:p>
    <w:p>
      <w:pPr>
        <w:spacing w:before="100" w:after="100"/>
      </w:pPr>
      <w:r>
        <w:rPr>
          <w:rFonts w:ascii="Courier New" w:cs="Courier New" w:eastAsia="Courier New" w:hAnsi="Courier New"/>
          <w:color w:val="1A4A7A"/>
          <w:sz w:val="20"/>
          <w:szCs w:val="20"/>
        </w:rPr>
        <w:t xml:space="preserve">dH_tail/dt = R_rec · H_solar  -  R_loss · H_tail</w:t>
      </w:r>
    </w:p>
    <w:p>
      <w:pPr>
        <w:spacing w:before="60" w:after="60"/>
      </w:pPr>
    </w:p>
    <w:p>
      <w:pPr>
        <w:spacing w:before="100" w:after="100"/>
      </w:pPr>
      <w:r>
        <w:rPr>
          <w:rFonts w:ascii="Courier New" w:cs="Courier New" w:eastAsia="Courier New" w:hAnsi="Courier New"/>
          <w:color w:val="1A4A7A"/>
          <w:sz w:val="20"/>
          <w:szCs w:val="20"/>
        </w:rPr>
        <w:t xml:space="preserve">Substorm onset condition (CCDR):</w:t>
      </w:r>
    </w:p>
    <w:p>
      <w:pPr>
        <w:spacing w:before="100" w:after="100"/>
      </w:pPr>
      <w:r>
        <w:rPr>
          <w:rFonts w:ascii="Courier New" w:cs="Courier New" w:eastAsia="Courier New" w:hAnsi="Courier New"/>
          <w:color w:val="1A4A7A"/>
          <w:sz w:val="20"/>
          <w:szCs w:val="20"/>
        </w:rPr>
        <w:t xml:space="preserve">H_tail / Vol_tail ≥ H_critical</w:t>
      </w:r>
    </w:p>
    <w:p>
      <w:pPr>
        <w:spacing w:before="100" w:after="100"/>
      </w:pPr>
      <w:r>
        <w:rPr>
          <w:rFonts w:ascii="Courier New" w:cs="Courier New" w:eastAsia="Courier New" w:hAnsi="Courier New"/>
          <w:color w:val="1A4A7A"/>
          <w:sz w:val="20"/>
          <w:szCs w:val="20"/>
        </w:rPr>
        <w:t xml:space="preserve">where H_critical ~ (v_A · τ_Alfvén)²  (phonon condensation threshold)</w:t>
      </w:r>
    </w:p>
    <w:p>
      <w:pPr>
        <w:spacing w:before="60" w:after="60"/>
      </w:pPr>
    </w:p>
    <w:p>
      <w:pPr>
        <w:spacing w:before="80" w:after="80"/>
      </w:pPr>
      <w:r>
        <w:rPr>
          <w:rFonts w:ascii="Palatino Linotype" w:cs="Palatino Linotype" w:eastAsia="Palatino Linotype" w:hAnsi="Palatino Linotype"/>
          <w:sz w:val="22"/>
          <w:szCs w:val="22"/>
        </w:rPr>
        <w:t xml:space="preserve">The magnetotail is a helicity battery that charges from the solar wind and discharges in substorms. Substorm onset is triggered by helicity density crossing the phonon condensation threshold — not by a critical magnetic field magnitude or current sheet thinning alone.</w:t>
      </w:r>
    </w:p>
    <w:p>
      <w:pPr>
        <w:spacing w:before="60" w:after="60"/>
      </w:pPr>
    </w:p>
    <w:p>
      <w:pPr>
        <w:spacing w:before="80" w:after="80"/>
      </w:pPr>
      <w:r>
        <w:rPr>
          <w:rFonts w:ascii="Palatino Linotype" w:cs="Palatino Linotype" w:eastAsia="Palatino Linotype" w:hAnsi="Palatino Linotype"/>
          <w:sz w:val="22"/>
          <w:szCs w:val="22"/>
        </w:rPr>
        <w:t xml:space="preserve">Prediction S3: Substorm onset time should be predictable from the integrated helicity input rate, not just from tail lobe field magnitude or cross-tail current. A solar wind stream delivering twice the helicity per unit time should halve the time to substorm onset, independently of total energy input. Testable with THEMIS/ARTEMIS tail field and solar wind data.</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5. The Substorm as a Topological Soliton</w:t>
      </w:r>
    </w:p>
    <w:p>
      <w:pPr>
        <w:spacing w:before="80" w:after="80"/>
      </w:pPr>
      <w:r>
        <w:rPr>
          <w:rFonts w:ascii="Palatino Linotype" w:cs="Palatino Linotype" w:eastAsia="Palatino Linotype" w:hAnsi="Palatino Linotype"/>
          <w:sz w:val="22"/>
          <w:szCs w:val="22"/>
        </w:rPr>
        <w:t xml:space="preserve">When the magnetotail helicity density reaches the critical threshold, spontaneous symmetry breaking occurs and the condensate releases its accumulated topological charge as a coherent soliton — a localised structure propagating along magnetic field lines toward the ionosphere carrying a concentrated pulse of helicity.</w:t>
      </w:r>
    </w:p>
    <w:p>
      <w:pPr>
        <w:spacing w:before="60" w:after="60"/>
      </w:pPr>
    </w:p>
    <w:p>
      <w:pPr>
        <w:spacing w:before="100" w:after="100"/>
      </w:pPr>
      <w:r>
        <w:rPr>
          <w:rFonts w:ascii="Courier New" w:cs="Courier New" w:eastAsia="Courier New" w:hAnsi="Courier New"/>
          <w:color w:val="1A4A7A"/>
          <w:sz w:val="20"/>
          <w:szCs w:val="20"/>
        </w:rPr>
        <w:t xml:space="preserve">Soliton properties:</w:t>
      </w:r>
    </w:p>
    <w:p>
      <w:pPr>
        <w:spacing w:before="100" w:after="100"/>
      </w:pPr>
      <w:r>
        <w:rPr>
          <w:rFonts w:ascii="Courier New" w:cs="Courier New" w:eastAsia="Courier New" w:hAnsi="Courier New"/>
          <w:color w:val="1A4A7A"/>
          <w:sz w:val="20"/>
          <w:szCs w:val="20"/>
        </w:rPr>
        <w:t xml:space="preserve">Speed:          v_sol ~ v_A  (Alfvén speed, ~1000–2000 km/s in inner magnetosphere)</w:t>
      </w:r>
    </w:p>
    <w:p>
      <w:pPr>
        <w:spacing w:before="100" w:after="100"/>
      </w:pPr>
      <w:r>
        <w:rPr>
          <w:rFonts w:ascii="Courier New" w:cs="Courier New" w:eastAsia="Courier New" w:hAnsi="Courier New"/>
          <w:color w:val="1A4A7A"/>
          <w:sz w:val="20"/>
          <w:szCs w:val="20"/>
        </w:rPr>
        <w:t xml:space="preserve">Width:          δ_sol ~ v_A · τ_reconnect  (~Earth radius scale)</w:t>
      </w:r>
    </w:p>
    <w:p>
      <w:pPr>
        <w:spacing w:before="100" w:after="100"/>
      </w:pPr>
      <w:r>
        <w:rPr>
          <w:rFonts w:ascii="Courier New" w:cs="Courier New" w:eastAsia="Courier New" w:hAnsi="Courier New"/>
          <w:color w:val="1A4A7A"/>
          <w:sz w:val="20"/>
          <w:szCs w:val="20"/>
        </w:rPr>
        <w:t xml:space="preserve">Topological charge: Q_sol = ∮ (A·B) dV  (conserved during propagation)</w:t>
      </w:r>
    </w:p>
    <w:p>
      <w:pPr>
        <w:spacing w:before="100" w:after="100"/>
      </w:pPr>
      <w:r>
        <w:rPr>
          <w:rFonts w:ascii="Courier New" w:cs="Courier New" w:eastAsia="Courier New" w:hAnsi="Courier New"/>
          <w:color w:val="1A4A7A"/>
          <w:sz w:val="20"/>
          <w:szCs w:val="20"/>
        </w:rPr>
        <w:t xml:space="preserve">Dispersion:     none  (soliton is dispersion-free by topological protection)</w:t>
      </w:r>
    </w:p>
    <w:p>
      <w:pPr>
        <w:spacing w:before="60" w:after="60"/>
      </w:pPr>
    </w:p>
    <w:p>
      <w:pPr>
        <w:spacing w:before="80" w:after="80"/>
      </w:pPr>
      <w:r>
        <w:rPr>
          <w:rFonts w:ascii="Palatino Linotype" w:cs="Palatino Linotype" w:eastAsia="Palatino Linotype" w:hAnsi="Palatino Linotype"/>
          <w:sz w:val="22"/>
          <w:szCs w:val="22"/>
        </w:rPr>
        <w:t xml:space="preserve">The Alfvénic nature of substorm onset propagation is well observed. In standard physics this is attributed to shear Alfvén waves. In CCDR it is the group velocity of a topological soliton, which in the ideal case should be dispersion-free, whereas standard Alfvén wave packets do spread.</w:t>
      </w:r>
    </w:p>
    <w:p>
      <w:pPr>
        <w:spacing w:before="60" w:after="60"/>
      </w:pPr>
    </w:p>
    <w:p>
      <w:pPr>
        <w:spacing w:before="80" w:after="80"/>
      </w:pPr>
      <w:r>
        <w:rPr>
          <w:rFonts w:ascii="Palatino Linotype" w:cs="Palatino Linotype" w:eastAsia="Palatino Linotype" w:hAnsi="Palatino Linotype"/>
          <w:sz w:val="22"/>
          <w:szCs w:val="22"/>
        </w:rPr>
        <w:t xml:space="preserve">Prediction S4: The substorm current wedge boundary should expand without dispersion — its edge should remain sharp as it propagates. Ground magnetometer networks and auroral all-sky camera arrays can test the sharpness of the expansion boundary as a function of propagation distance. Soliton: edge sharpness constant. Wave packet: edge sharpness decreasing as (distance)^(1/2).</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6. Birkeland Currents as the Helicity Transport System</w:t>
      </w:r>
    </w:p>
    <w:p>
      <w:pPr>
        <w:spacing w:before="80" w:after="80"/>
      </w:pPr>
      <w:r>
        <w:rPr>
          <w:rFonts w:ascii="Palatino Linotype" w:cs="Palatino Linotype" w:eastAsia="Palatino Linotype" w:hAnsi="Palatino Linotype"/>
          <w:sz w:val="22"/>
          <w:szCs w:val="22"/>
        </w:rPr>
        <w:t xml:space="preserve">The field-aligned currents flowing between the magnetosphere and ionosphere are, in CCDR, the acoustic phonon current carrying topological charge from the magnetosphere to the ionosphere. They flow along field lines because of the phonon Hall effect: in the presence of the geomagnetic field B, the phonon group velocity is anisotropic, with maximum velocity along B.</w:t>
      </w:r>
    </w:p>
    <w:p>
      <w:pPr>
        <w:spacing w:before="60" w:after="60"/>
      </w:pPr>
    </w:p>
    <w:p>
      <w:pPr>
        <w:spacing w:before="80" w:after="80"/>
      </w:pPr>
      <w:r>
        <w:rPr>
          <w:rFonts w:ascii="Palatino Linotype" w:cs="Palatino Linotype" w:eastAsia="Palatino Linotype" w:hAnsi="Palatino Linotype"/>
          <w:sz w:val="22"/>
          <w:szCs w:val="22"/>
        </w:rPr>
        <w:t xml:space="preserve">The Region 1 and Region 2 Birkeland current sheets have opposite current directions. In CCDR, this bipolar structure is the helicity circulation pattern of the phonon condensate: upward current carries one helicity sign, downward current carries the opposite. The net helicity deposited in the ionosphere corresponds to the helicity injected by the substorm soliton.</w:t>
      </w:r>
    </w:p>
    <w:p>
      <w:pPr>
        <w:spacing w:before="60" w:after="60"/>
      </w:pPr>
    </w:p>
    <w:p>
      <w:pPr>
        <w:spacing w:before="100" w:after="100"/>
      </w:pPr>
      <w:r>
        <w:rPr>
          <w:rFonts w:ascii="Courier New" w:cs="Courier New" w:eastAsia="Courier New" w:hAnsi="Courier New"/>
          <w:color w:val="1A4A7A"/>
          <w:sz w:val="20"/>
          <w:szCs w:val="20"/>
        </w:rPr>
        <w:t xml:space="preserve">Helicity deposition rate at auroral oval:</w:t>
      </w:r>
    </w:p>
    <w:p>
      <w:pPr>
        <w:spacing w:before="100" w:after="100"/>
      </w:pPr>
      <w:r>
        <w:rPr>
          <w:rFonts w:ascii="Courier New" w:cs="Courier New" w:eastAsia="Courier New" w:hAnsi="Courier New"/>
          <w:color w:val="1A4A7A"/>
          <w:sz w:val="20"/>
          <w:szCs w:val="20"/>
        </w:rPr>
        <w:t xml:space="preserve">dH_iono/dt = J_||  ×  A_Birkeland  ×  (helicity per unit charge)</w:t>
      </w:r>
    </w:p>
    <w:p>
      <w:pPr>
        <w:spacing w:before="100" w:after="100"/>
      </w:pPr>
      <w:r>
        <w:rPr>
          <w:rFonts w:ascii="Courier New" w:cs="Courier New" w:eastAsia="Courier New" w:hAnsi="Courier New"/>
          <w:color w:val="1A4A7A"/>
          <w:sz w:val="20"/>
          <w:szCs w:val="20"/>
        </w:rPr>
        <w:t xml:space="preserve">where J_|| ~ 1–10 μA/m²,   A_Birkeland ~ 10¹² m²</w:t>
      </w:r>
    </w:p>
    <w:p>
      <w:pPr>
        <w:spacing w:before="60" w:after="60"/>
      </w:pPr>
    </w:p>
    <w:p>
      <w:pPr>
        <w:spacing w:before="80" w:after="80"/>
      </w:pPr>
      <w:r>
        <w:rPr>
          <w:rFonts w:ascii="Palatino Linotype" w:cs="Palatino Linotype" w:eastAsia="Palatino Linotype" w:hAnsi="Palatino Linotype"/>
          <w:sz w:val="22"/>
          <w:szCs w:val="22"/>
        </w:rPr>
        <w:t xml:space="preserve">This gives a helicity deposition rate consistent with the optical phonon mode nucleation threshold for auroral ball lightning when integrated over a substorm duration of ~30 minutes.</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7. The Aurora as Optical Phonon Mode Nucleation</w:t>
      </w:r>
    </w:p>
    <w:p>
      <w:pPr>
        <w:spacing w:before="80" w:after="80"/>
      </w:pPr>
      <w:r>
        <w:rPr>
          <w:rFonts w:ascii="Palatino Linotype" w:cs="Palatino Linotype" w:eastAsia="Palatino Linotype" w:hAnsi="Palatino Linotype"/>
          <w:sz w:val="22"/>
          <w:szCs w:val="22"/>
        </w:rPr>
        <w:t xml:space="preserve">When the substorm soliton arrives at the ionosphere (altitude 100–150 km), the helicity density spikes locally above the optical phonon mode nucleation threshold. This is precisely the ball lightning condition. The Birkeland current pulse delivers a concentrated pulse of helicity into the acoustic phonon condensate of the ionospheric gas, nucleating an extended optical phonon mode.</w:t>
      </w:r>
    </w:p>
    <w:p>
      <w:pPr>
        <w:spacing w:before="60" w:after="60"/>
      </w:pPr>
    </w:p>
    <w:p>
      <w:pPr>
        <w:spacing w:before="80" w:after="80"/>
      </w:pPr>
      <w:r>
        <w:rPr>
          <w:rFonts w:ascii="Palatino Linotype" w:cs="Palatino Linotype" w:eastAsia="Palatino Linotype" w:hAnsi="Palatino Linotype"/>
          <w:sz w:val="22"/>
          <w:szCs w:val="22"/>
        </w:rPr>
        <w:t xml:space="preserve">The aurora is the electromagnetic boundary layer of this extended optical phonon mode — just as the luminous sphere of ball lightning is the electromagnetic boundary layer of a compact optical phonon mode.</w:t>
      </w:r>
    </w:p>
    <w:p>
      <w:pPr>
        <w:spacing w:before="60" w:after="60"/>
      </w:pPr>
    </w:p>
    <w:p>
      <w:pPr>
        <w:spacing w:before="100" w:after="100"/>
      </w:pPr>
      <w:r>
        <w:rPr>
          <w:rFonts w:ascii="Courier New" w:cs="Courier New" w:eastAsia="Courier New" w:hAnsi="Courier New"/>
          <w:color w:val="1A4A7A"/>
          <w:sz w:val="20"/>
          <w:szCs w:val="20"/>
        </w:rPr>
        <w:t xml:space="preserve">Aurora geometry ↔ optical phonon mode geometry:</w:t>
      </w:r>
    </w:p>
    <w:p>
      <w:pPr>
        <w:spacing w:before="100" w:after="100"/>
      </w:pPr>
      <w:r>
        <w:rPr>
          <w:rFonts w:ascii="Courier New" w:cs="Courier New" w:eastAsia="Courier New" w:hAnsi="Courier New"/>
          <w:color w:val="1A4A7A"/>
          <w:sz w:val="20"/>
          <w:szCs w:val="20"/>
        </w:rPr>
        <w:t xml:space="preserve">Ball lightning:  compact sphere (~0.01–0.5 m diameter)</w:t>
      </w:r>
    </w:p>
    <w:p>
      <w:pPr>
        <w:spacing w:before="100" w:after="100"/>
      </w:pPr>
      <w:r>
        <w:rPr>
          <w:rFonts w:ascii="Courier New" w:cs="Courier New" w:eastAsia="Courier New" w:hAnsi="Courier New"/>
          <w:color w:val="1A4A7A"/>
          <w:sz w:val="20"/>
          <w:szCs w:val="20"/>
        </w:rPr>
        <w:t xml:space="preserve">                = compact optical phonon mode, pinned by lightning helicity</w:t>
      </w:r>
    </w:p>
    <w:p>
      <w:pPr>
        <w:spacing w:before="100" w:after="100"/>
      </w:pPr>
      <w:r>
        <w:rPr>
          <w:rFonts w:ascii="Courier New" w:cs="Courier New" w:eastAsia="Courier New" w:hAnsi="Courier New"/>
          <w:color w:val="1A4A7A"/>
          <w:sz w:val="20"/>
          <w:szCs w:val="20"/>
        </w:rPr>
        <w:t xml:space="preserve">Auroral arc:     thin curtain (~1–1000 km long, 1–10 km thick)</w:t>
      </w:r>
    </w:p>
    <w:p>
      <w:pPr>
        <w:spacing w:before="100" w:after="100"/>
      </w:pPr>
      <w:r>
        <w:rPr>
          <w:rFonts w:ascii="Courier New" w:cs="Courier New" w:eastAsia="Courier New" w:hAnsi="Courier New"/>
          <w:color w:val="1A4A7A"/>
          <w:sz w:val="20"/>
          <w:szCs w:val="20"/>
        </w:rPr>
        <w:t xml:space="preserve">                = sheet optical phonon mode, pinned by Birkeland current helicity</w:t>
      </w:r>
    </w:p>
    <w:p>
      <w:pPr>
        <w:spacing w:before="60" w:after="60"/>
      </w:pPr>
    </w:p>
    <w:p>
      <w:pPr>
        <w:spacing w:before="100" w:after="100"/>
      </w:pPr>
      <w:r>
        <w:rPr>
          <w:rFonts w:ascii="Courier New" w:cs="Courier New" w:eastAsia="Courier New" w:hAnsi="Courier New"/>
          <w:color w:val="1A4A7A"/>
          <w:sz w:val="20"/>
          <w:szCs w:val="20"/>
        </w:rPr>
        <w:t xml:space="preserve">Aurora brightness (CCDR):</w:t>
      </w:r>
    </w:p>
    <w:p>
      <w:pPr>
        <w:spacing w:before="100" w:after="100"/>
      </w:pPr>
      <w:r>
        <w:rPr>
          <w:rFonts w:ascii="Courier New" w:cs="Courier New" w:eastAsia="Courier New" w:hAnsi="Courier New"/>
          <w:color w:val="1A4A7A"/>
          <w:sz w:val="20"/>
          <w:szCs w:val="20"/>
        </w:rPr>
        <w:t xml:space="preserve">I_aurora ∝ H_Birkeland^α   with α &gt; 1  (superlinear — nucleation threshold)</w:t>
      </w:r>
    </w:p>
    <w:p>
      <w:pPr>
        <w:spacing w:before="100" w:after="100"/>
      </w:pPr>
      <w:r>
        <w:rPr>
          <w:rFonts w:ascii="Courier New" w:cs="Courier New" w:eastAsia="Courier New" w:hAnsi="Courier New"/>
          <w:color w:val="1A4A7A"/>
          <w:sz w:val="20"/>
          <w:szCs w:val="20"/>
        </w:rPr>
        <w:t xml:space="preserve">Standard physics predicts: I_aurora ∝ electron flux  (linear)</w:t>
      </w:r>
    </w:p>
    <w:p>
      <w:pPr>
        <w:spacing w:before="60" w:after="60"/>
      </w:pPr>
    </w:p>
    <w:p>
      <w:pPr>
        <w:spacing w:before="80" w:after="80"/>
      </w:pPr>
      <w:r>
        <w:rPr>
          <w:rFonts w:ascii="Palatino Linotype" w:cs="Palatino Linotype" w:eastAsia="Palatino Linotype" w:hAnsi="Palatino Linotype"/>
          <w:sz w:val="22"/>
          <w:szCs w:val="22"/>
        </w:rPr>
        <w:t xml:space="preserve">The superlinear relationship is the nucleation signature. Below the helicity threshold, no aurora forms regardless of electron flux. Above threshold, rapid optical phonon mode growth occurs. Prediction S5: Aurora brightness should be a superlinear function of helicity deposition rate, not a linear function of particle precipitation flux.</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8. The 11-Year Solar Cycle in CCDR</w:t>
      </w:r>
    </w:p>
    <w:p>
      <w:pPr>
        <w:spacing w:before="80" w:after="80"/>
      </w:pPr>
      <w:r>
        <w:rPr>
          <w:rFonts w:ascii="Palatino Linotype" w:cs="Palatino Linotype" w:eastAsia="Palatino Linotype" w:hAnsi="Palatino Linotype"/>
          <w:sz w:val="22"/>
          <w:szCs w:val="22"/>
        </w:rPr>
        <w:t xml:space="preserve">Every 11 years the Sun’s magnetic field reverses polarity. In CCDR, the solar cycle is fundamentally a reversal of the helicity chirality of the Sun’s acoustic phonon condensate. The helicity current delivered to Earth’s magnetosphere reverses sign every 11 years.</w:t>
      </w:r>
    </w:p>
    <w:p>
      <w:pPr>
        <w:spacing w:before="60" w:after="60"/>
      </w:pPr>
    </w:p>
    <w:p>
      <w:pPr>
        <w:spacing w:before="80" w:after="80"/>
      </w:pPr>
      <w:r>
        <w:rPr>
          <w:rFonts w:ascii="Palatino Linotype" w:cs="Palatino Linotype" w:eastAsia="Palatino Linotype" w:hAnsi="Palatino Linotype"/>
          <w:sz w:val="22"/>
          <w:szCs w:val="22"/>
        </w:rPr>
        <w:t xml:space="preserve">During the reversal itself, the solar condensate passes through its disordered zero-helicity phase. During this period: reduced aurora (expected), but enhanced optical phonon free modes in the magnetosphere because the topological barrier from solar helicity forcing is temporarily absent.</w:t>
      </w:r>
    </w:p>
    <w:p>
      <w:pPr>
        <w:spacing w:before="60" w:after="60"/>
      </w:pPr>
    </w:p>
    <w:p>
      <w:pPr>
        <w:spacing w:before="80" w:after="80"/>
      </w:pPr>
      <w:r>
        <w:rPr>
          <w:rFonts w:ascii="Palatino Linotype" w:cs="Palatino Linotype" w:eastAsia="Palatino Linotype" w:hAnsi="Palatino Linotype"/>
          <w:sz w:val="22"/>
          <w:szCs w:val="22"/>
        </w:rPr>
        <w:t xml:space="preserve">Prediction S7: Ball lightning sighting frequency should peak at solar minimum — counterintuitively. The solar helicity field normally suppresses free nucleation of optical phonon modes. When solar helicity drops to near zero (minimum), these modes nucleate more freely. Standard physics predicts more electrical activity near solar maximum.</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9. Coronal Mass Ejections as Helicity Solitons</w:t>
      </w:r>
    </w:p>
    <w:p>
      <w:pPr>
        <w:spacing w:before="80" w:after="80"/>
      </w:pPr>
      <w:r>
        <w:rPr>
          <w:rFonts w:ascii="Palatino Linotype" w:cs="Palatino Linotype" w:eastAsia="Palatino Linotype" w:hAnsi="Palatino Linotype"/>
          <w:sz w:val="22"/>
          <w:szCs w:val="22"/>
        </w:rPr>
        <w:t xml:space="preserve">A CME is, in CCDR, a topological soliton ejected from the solar acoustic phonon condensate — a coherent, self-contained helicity structure that retains its topological integrity as it propagates through the heliosphere. The magnetic flux rope structure of CMEs is not coincidental: it is the shape of a topological soliton of a rotating acoustic phonon condensate, at stellar scale.</w:t>
      </w:r>
    </w:p>
    <w:p>
      <w:pPr>
        <w:spacing w:before="60" w:after="60"/>
      </w:pPr>
    </w:p>
    <w:p>
      <w:pPr>
        <w:spacing w:before="100" w:after="100"/>
      </w:pPr>
      <w:r>
        <w:rPr>
          <w:rFonts w:ascii="Courier New" w:cs="Courier New" w:eastAsia="Courier New" w:hAnsi="Courier New"/>
          <w:color w:val="1A4A7A"/>
          <w:sz w:val="20"/>
          <w:szCs w:val="20"/>
        </w:rPr>
        <w:t xml:space="preserve">CME helicity budget:</w:t>
      </w:r>
    </w:p>
    <w:p>
      <w:pPr>
        <w:spacing w:before="100" w:after="100"/>
      </w:pPr>
      <w:r>
        <w:rPr>
          <w:rFonts w:ascii="Courier New" w:cs="Courier New" w:eastAsia="Courier New" w:hAnsi="Courier New"/>
          <w:color w:val="1A4A7A"/>
          <w:sz w:val="20"/>
          <w:szCs w:val="20"/>
        </w:rPr>
        <w:t xml:space="preserve">H_CME ~ 10²⁰ – 10²³ Wb²m   (from solar observations)</w:t>
      </w:r>
    </w:p>
    <w:p>
      <w:pPr>
        <w:spacing w:before="100" w:after="100"/>
      </w:pPr>
      <w:r>
        <w:rPr>
          <w:rFonts w:ascii="Courier New" w:cs="Courier New" w:eastAsia="Courier New" w:hAnsi="Courier New"/>
          <w:color w:val="1A4A7A"/>
          <w:sz w:val="20"/>
          <w:szCs w:val="20"/>
        </w:rPr>
        <w:t xml:space="preserve">H_Earth_dipole ~ 10²⁰ Wb²m   (comparable!)</w:t>
      </w:r>
    </w:p>
    <w:p>
      <w:pPr>
        <w:spacing w:before="100" w:after="100"/>
      </w:pPr>
      <w:r>
        <w:rPr>
          <w:rFonts w:ascii="Courier New" w:cs="Courier New" w:eastAsia="Courier New" w:hAnsi="Courier New"/>
          <w:color w:val="1A4A7A"/>
          <w:sz w:val="20"/>
          <w:szCs w:val="20"/>
        </w:rPr>
        <w:t xml:space="preserve">H_magnetosphere ~ 10¹⁸ Wb²m  (normal conditions)</w:t>
      </w:r>
    </w:p>
    <w:p>
      <w:pPr>
        <w:spacing w:before="60" w:after="60"/>
      </w:pPr>
    </w:p>
    <w:p>
      <w:pPr>
        <w:spacing w:before="80" w:after="80"/>
      </w:pPr>
      <w:r>
        <w:rPr>
          <w:rFonts w:ascii="Palatino Linotype" w:cs="Palatino Linotype" w:eastAsia="Palatino Linotype" w:hAnsi="Palatino Linotype"/>
          <w:sz w:val="22"/>
          <w:szCs w:val="22"/>
        </w:rPr>
        <w:t xml:space="preserve">A large CME carries more helicity than Earth’s entire dipole field. When it hits the magnetosphere, it is not a perturbation — it is a topological charge injection that can temporarily reconfigure Earth’s entire acoustic phonon condensate topology.</w:t>
      </w:r>
    </w:p>
    <w:p>
      <w:pPr>
        <w:spacing w:before="60" w:after="60"/>
      </w:pPr>
    </w:p>
    <w:p>
      <w:pPr>
        <w:spacing w:before="80" w:after="80"/>
      </w:pPr>
      <w:r>
        <w:rPr>
          <w:rFonts w:ascii="Palatino Linotype" w:cs="Palatino Linotype" w:eastAsia="Palatino Linotype" w:hAnsi="Palatino Linotype"/>
          <w:sz w:val="22"/>
          <w:szCs w:val="22"/>
        </w:rPr>
        <w:t xml:space="preserve">Prediction S8: Geomagnetic storm intensity should correlate better with the estimated helicity of the arriving CME (reconstructable from heliospheric imager data of the flux rope geometry) than with the peak southward Bz alone.</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10. The Complete Chain</w:t>
      </w:r>
    </w:p>
    <w:p>
      <w:pPr>
        <w:spacing w:before="100" w:after="100"/>
      </w:pPr>
      <w:r>
        <w:rPr>
          <w:rFonts w:ascii="Courier New" w:cs="Courier New" w:eastAsia="Courier New" w:hAnsi="Courier New"/>
          <w:color w:val="1A4A7A"/>
          <w:sz w:val="20"/>
          <w:szCs w:val="20"/>
        </w:rPr>
        <w:t xml:space="preserve">SUN</w:t>
      </w:r>
    </w:p>
    <w:p>
      <w:pPr>
        <w:spacing w:before="100" w:after="100"/>
      </w:pPr>
      <w:r>
        <w:rPr>
          <w:rFonts w:ascii="Courier New" w:cs="Courier New" w:eastAsia="Courier New" w:hAnsi="Courier New"/>
          <w:color w:val="1A4A7A"/>
          <w:sz w:val="20"/>
          <w:szCs w:val="20"/>
        </w:rPr>
        <w:t xml:space="preserve">  Acoustic phonon condensate (solar dynamo)</w:t>
      </w:r>
    </w:p>
    <w:p>
      <w:pPr>
        <w:spacing w:before="100" w:after="100"/>
      </w:pPr>
      <w:r>
        <w:rPr>
          <w:rFonts w:ascii="Courier New" w:cs="Courier New" w:eastAsia="Courier New" w:hAnsi="Courier New"/>
          <w:color w:val="1A4A7A"/>
          <w:sz w:val="20"/>
          <w:szCs w:val="20"/>
        </w:rPr>
        <w:t xml:space="preserve">  Generates helicity current in IMF (Parker spiral)</w:t>
      </w:r>
    </w:p>
    <w:p>
      <w:pPr>
        <w:spacing w:before="100" w:after="100"/>
      </w:pPr>
      <w:r>
        <w:rPr>
          <w:rFonts w:ascii="Courier New" w:cs="Courier New" w:eastAsia="Courier New" w:hAnsi="Courier New"/>
          <w:color w:val="1A4A7A"/>
          <w:sz w:val="20"/>
          <w:szCs w:val="20"/>
        </w:rPr>
        <w:t xml:space="preserve">    ↓</w:t>
      </w:r>
    </w:p>
    <w:p>
      <w:pPr>
        <w:spacing w:before="100" w:after="100"/>
      </w:pPr>
      <w:r>
        <w:rPr>
          <w:rFonts w:ascii="Courier New" w:cs="Courier New" w:eastAsia="Courier New" w:hAnsi="Courier New"/>
          <w:color w:val="1A4A7A"/>
          <w:sz w:val="20"/>
          <w:szCs w:val="20"/>
        </w:rPr>
        <w:t xml:space="preserve">SOLAR WIND</w:t>
      </w:r>
    </w:p>
    <w:p>
      <w:pPr>
        <w:spacing w:before="100" w:after="100"/>
      </w:pPr>
      <w:r>
        <w:rPr>
          <w:rFonts w:ascii="Courier New" w:cs="Courier New" w:eastAsia="Courier New" w:hAnsi="Courier New"/>
          <w:color w:val="1A4A7A"/>
          <w:sz w:val="20"/>
          <w:szCs w:val="20"/>
        </w:rPr>
        <w:t xml:space="preserve">  Helicity current carrier: J_hel = A·B at 400–800 km/s</w:t>
      </w:r>
    </w:p>
    <w:p>
      <w:pPr>
        <w:spacing w:before="100" w:after="100"/>
      </w:pPr>
      <w:r>
        <w:rPr>
          <w:rFonts w:ascii="Courier New" w:cs="Courier New" w:eastAsia="Courier New" w:hAnsi="Courier New"/>
          <w:color w:val="1A4A7A"/>
          <w:sz w:val="20"/>
          <w:szCs w:val="20"/>
        </w:rPr>
        <w:t xml:space="preserve">  CMEs = topological solitons of solar phonon condensate</w:t>
      </w:r>
    </w:p>
    <w:p>
      <w:pPr>
        <w:spacing w:before="100" w:after="100"/>
      </w:pPr>
      <w:r>
        <w:rPr>
          <w:rFonts w:ascii="Courier New" w:cs="Courier New" w:eastAsia="Courier New" w:hAnsi="Courier New"/>
          <w:color w:val="1A4A7A"/>
          <w:sz w:val="20"/>
          <w:szCs w:val="20"/>
        </w:rPr>
        <w:t xml:space="preserve">    ↓</w:t>
      </w:r>
    </w:p>
    <w:p>
      <w:pPr>
        <w:spacing w:before="100" w:after="100"/>
      </w:pPr>
      <w:r>
        <w:rPr>
          <w:rFonts w:ascii="Courier New" w:cs="Courier New" w:eastAsia="Courier New" w:hAnsi="Courier New"/>
          <w:color w:val="1A4A7A"/>
          <w:sz w:val="20"/>
          <w:szCs w:val="20"/>
        </w:rPr>
        <w:t xml:space="preserve">DAYSIDE MAGNETOPAUSE</w:t>
      </w:r>
    </w:p>
    <w:p>
      <w:pPr>
        <w:spacing w:before="100" w:after="100"/>
      </w:pPr>
      <w:r>
        <w:rPr>
          <w:rFonts w:ascii="Courier New" w:cs="Courier New" w:eastAsia="Courier New" w:hAnsi="Courier New"/>
          <w:color w:val="1A4A7A"/>
          <w:sz w:val="20"/>
          <w:szCs w:val="20"/>
        </w:rPr>
        <w:t xml:space="preserve">  Reconnection = helicity transfer between condensates</w:t>
      </w:r>
    </w:p>
    <w:p>
      <w:pPr>
        <w:spacing w:before="100" w:after="100"/>
      </w:pPr>
      <w:r>
        <w:rPr>
          <w:rFonts w:ascii="Courier New" w:cs="Courier New" w:eastAsia="Courier New" w:hAnsi="Courier New"/>
          <w:color w:val="1A4A7A"/>
          <w:sz w:val="20"/>
          <w:szCs w:val="20"/>
        </w:rPr>
        <w:t xml:space="preserve">  Antiparallel helicity (southward IMF) = maximum transfer rate</w:t>
      </w:r>
    </w:p>
    <w:p>
      <w:pPr>
        <w:spacing w:before="100" w:after="100"/>
      </w:pPr>
      <w:r>
        <w:rPr>
          <w:rFonts w:ascii="Courier New" w:cs="Courier New" w:eastAsia="Courier New" w:hAnsi="Courier New"/>
          <w:color w:val="1A4A7A"/>
          <w:sz w:val="20"/>
          <w:szCs w:val="20"/>
        </w:rPr>
        <w:t xml:space="preserve">    ↓</w:t>
      </w:r>
    </w:p>
    <w:p>
      <w:pPr>
        <w:spacing w:before="100" w:after="100"/>
      </w:pPr>
      <w:r>
        <w:rPr>
          <w:rFonts w:ascii="Courier New" w:cs="Courier New" w:eastAsia="Courier New" w:hAnsi="Courier New"/>
          <w:color w:val="1A4A7A"/>
          <w:sz w:val="20"/>
          <w:szCs w:val="20"/>
        </w:rPr>
        <w:t xml:space="preserve">MAGNETOTAIL</w:t>
      </w:r>
    </w:p>
    <w:p>
      <w:pPr>
        <w:spacing w:before="100" w:after="100"/>
      </w:pPr>
      <w:r>
        <w:rPr>
          <w:rFonts w:ascii="Courier New" w:cs="Courier New" w:eastAsia="Courier New" w:hAnsi="Courier New"/>
          <w:color w:val="1A4A7A"/>
          <w:sz w:val="20"/>
          <w:szCs w:val="20"/>
        </w:rPr>
        <w:t xml:space="preserve">  Helicity accumulates toward condensation threshold</w:t>
      </w:r>
    </w:p>
    <w:p>
      <w:pPr>
        <w:spacing w:before="100" w:after="100"/>
      </w:pPr>
      <w:r>
        <w:rPr>
          <w:rFonts w:ascii="Courier New" w:cs="Courier New" w:eastAsia="Courier New" w:hAnsi="Courier New"/>
          <w:color w:val="1A4A7A"/>
          <w:sz w:val="20"/>
          <w:szCs w:val="20"/>
        </w:rPr>
        <w:t xml:space="preserve">  Substorm onset = threshold crossed</w:t>
      </w:r>
    </w:p>
    <w:p>
      <w:pPr>
        <w:spacing w:before="100" w:after="100"/>
      </w:pPr>
      <w:r>
        <w:rPr>
          <w:rFonts w:ascii="Courier New" w:cs="Courier New" w:eastAsia="Courier New" w:hAnsi="Courier New"/>
          <w:color w:val="1A4A7A"/>
          <w:sz w:val="20"/>
          <w:szCs w:val="20"/>
        </w:rPr>
        <w:t xml:space="preserve">  Release = topological soliton at Alfvén speed</w:t>
      </w:r>
    </w:p>
    <w:p>
      <w:pPr>
        <w:spacing w:before="100" w:after="100"/>
      </w:pPr>
      <w:r>
        <w:rPr>
          <w:rFonts w:ascii="Courier New" w:cs="Courier New" w:eastAsia="Courier New" w:hAnsi="Courier New"/>
          <w:color w:val="1A4A7A"/>
          <w:sz w:val="20"/>
          <w:szCs w:val="20"/>
        </w:rPr>
        <w:t xml:space="preserve">    ↓</w:t>
      </w:r>
    </w:p>
    <w:p>
      <w:pPr>
        <w:spacing w:before="100" w:after="100"/>
      </w:pPr>
      <w:r>
        <w:rPr>
          <w:rFonts w:ascii="Courier New" w:cs="Courier New" w:eastAsia="Courier New" w:hAnsi="Courier New"/>
          <w:color w:val="1A4A7A"/>
          <w:sz w:val="20"/>
          <w:szCs w:val="20"/>
        </w:rPr>
        <w:t xml:space="preserve">BIRKELAND CURRENTS</w:t>
      </w:r>
    </w:p>
    <w:p>
      <w:pPr>
        <w:spacing w:before="100" w:after="100"/>
      </w:pPr>
      <w:r>
        <w:rPr>
          <w:rFonts w:ascii="Courier New" w:cs="Courier New" w:eastAsia="Courier New" w:hAnsi="Courier New"/>
          <w:color w:val="1A4A7A"/>
          <w:sz w:val="20"/>
          <w:szCs w:val="20"/>
        </w:rPr>
        <w:t xml:space="preserve">  Helicity transport along field lines (phonon Hall effect)</w:t>
      </w:r>
    </w:p>
    <w:p>
      <w:pPr>
        <w:spacing w:before="100" w:after="100"/>
      </w:pPr>
      <w:r>
        <w:rPr>
          <w:rFonts w:ascii="Courier New" w:cs="Courier New" w:eastAsia="Courier New" w:hAnsi="Courier New"/>
          <w:color w:val="1A4A7A"/>
          <w:sz w:val="20"/>
          <w:szCs w:val="20"/>
        </w:rPr>
        <w:t xml:space="preserve">    ↓</w:t>
      </w:r>
    </w:p>
    <w:p>
      <w:pPr>
        <w:spacing w:before="100" w:after="100"/>
      </w:pPr>
      <w:r>
        <w:rPr>
          <w:rFonts w:ascii="Courier New" w:cs="Courier New" w:eastAsia="Courier New" w:hAnsi="Courier New"/>
          <w:color w:val="1A4A7A"/>
          <w:sz w:val="20"/>
          <w:szCs w:val="20"/>
        </w:rPr>
        <w:t xml:space="preserve">IONOSPHERE (100–150 km)</w:t>
      </w:r>
    </w:p>
    <w:p>
      <w:pPr>
        <w:spacing w:before="100" w:after="100"/>
      </w:pPr>
      <w:r>
        <w:rPr>
          <w:rFonts w:ascii="Courier New" w:cs="Courier New" w:eastAsia="Courier New" w:hAnsi="Courier New"/>
          <w:color w:val="1A4A7A"/>
          <w:sz w:val="20"/>
          <w:szCs w:val="20"/>
        </w:rPr>
        <w:t xml:space="preserve">  Helicity density &gt; nucleation threshold</w:t>
      </w:r>
    </w:p>
    <w:p>
      <w:pPr>
        <w:spacing w:before="100" w:after="100"/>
      </w:pPr>
      <w:r>
        <w:rPr>
          <w:rFonts w:ascii="Courier New" w:cs="Courier New" w:eastAsia="Courier New" w:hAnsi="Courier New"/>
          <w:color w:val="1A4A7A"/>
          <w:sz w:val="20"/>
          <w:szCs w:val="20"/>
        </w:rPr>
        <w:t xml:space="preserve">  Extended optical phonon mode nucleates</w:t>
      </w:r>
    </w:p>
    <w:p>
      <w:pPr>
        <w:spacing w:before="100" w:after="100"/>
      </w:pPr>
      <w:r>
        <w:rPr>
          <w:rFonts w:ascii="Courier New" w:cs="Courier New" w:eastAsia="Courier New" w:hAnsi="Courier New"/>
          <w:color w:val="1A4A7A"/>
          <w:sz w:val="20"/>
          <w:szCs w:val="20"/>
        </w:rPr>
        <w:t xml:space="preserve">  Electromagnetic boundary layer = visible aurora</w:t>
      </w:r>
    </w:p>
    <w:p>
      <w:pPr>
        <w:spacing w:before="100" w:after="100"/>
      </w:pPr>
      <w:r>
        <w:rPr>
          <w:rFonts w:ascii="Courier New" w:cs="Courier New" w:eastAsia="Courier New" w:hAnsi="Courier New"/>
          <w:color w:val="1A4A7A"/>
          <w:sz w:val="20"/>
          <w:szCs w:val="20"/>
        </w:rPr>
        <w:t xml:space="preserve">  Acoustic phonon excitation = infrasound</w:t>
      </w:r>
    </w:p>
    <w:p>
      <w:pPr>
        <w:spacing w:before="100" w:after="100"/>
      </w:pPr>
      <w:r>
        <w:rPr>
          <w:rFonts w:ascii="Courier New" w:cs="Courier New" w:eastAsia="Courier New" w:hAnsi="Courier New"/>
          <w:color w:val="1A4A7A"/>
          <w:sz w:val="20"/>
          <w:szCs w:val="20"/>
        </w:rPr>
        <w:t xml:space="preserve">    ↓</w:t>
      </w:r>
    </w:p>
    <w:p>
      <w:pPr>
        <w:spacing w:before="100" w:after="100"/>
      </w:pPr>
      <w:r>
        <w:rPr>
          <w:rFonts w:ascii="Courier New" w:cs="Courier New" w:eastAsia="Courier New" w:hAnsi="Courier New"/>
          <w:color w:val="1A4A7A"/>
          <w:sz w:val="20"/>
          <w:szCs w:val="20"/>
        </w:rPr>
        <w:t xml:space="preserve">NEUTRAL ATMOSPHERE</w:t>
      </w:r>
    </w:p>
    <w:p>
      <w:pPr>
        <w:spacing w:before="100" w:after="100"/>
      </w:pPr>
      <w:r>
        <w:rPr>
          <w:rFonts w:ascii="Courier New" w:cs="Courier New" w:eastAsia="Courier New" w:hAnsi="Courier New"/>
          <w:color w:val="1A4A7A"/>
          <w:sz w:val="20"/>
          <w:szCs w:val="20"/>
        </w:rPr>
        <w:t xml:space="preserve">  Infrasound, Aharonov–Bohm chemistry modification</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11. Testable Predictions</w:t>
      </w:r>
    </w:p>
    <w:p>
      <w:pPr>
        <w:spacing w:before="6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700"/>
        <w:gridCol w:w="1900"/>
        <w:gridCol w:w="1880"/>
      </w:tblGrid>
      <w:tr>
        <w:trPr>
          <w:tblHeader/>
        </w:trPr>
        <w:tc>
          <w:tcPr>
            <w:tcW w:type="dxa" w:w="480"/>
            <w:tcBorders>
              <w:top w:val="single" w:color="1F5C8B" w:sz="1"/>
              <w:left w:val="single" w:color="1F5C8B" w:sz="1"/>
              <w:bottom w:val="single" w:color="1F5C8B" w:sz="1"/>
              <w:right w:val="single" w:color="1F5C8B" w:sz="1"/>
            </w:tcBorders>
            <w:shd w:fill="1A3A6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w:t>
            </w:r>
          </w:p>
        </w:tc>
        <w:tc>
          <w:tcPr>
            <w:tcW w:type="dxa" w:w="2400"/>
            <w:tcBorders>
              <w:top w:val="single" w:color="1F5C8B" w:sz="1"/>
              <w:left w:val="single" w:color="1F5C8B" w:sz="1"/>
              <w:bottom w:val="single" w:color="1F5C8B" w:sz="1"/>
              <w:right w:val="single" w:color="1F5C8B" w:sz="1"/>
            </w:tcBorders>
            <w:shd w:fill="1A3A6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Prediction</w:t>
            </w:r>
          </w:p>
        </w:tc>
        <w:tc>
          <w:tcPr>
            <w:tcW w:type="dxa" w:w="1700"/>
            <w:tcBorders>
              <w:top w:val="single" w:color="1F5C8B" w:sz="1"/>
              <w:left w:val="single" w:color="1F5C8B" w:sz="1"/>
              <w:bottom w:val="single" w:color="1F5C8B" w:sz="1"/>
              <w:right w:val="single" w:color="1F5C8B" w:sz="1"/>
            </w:tcBorders>
            <w:shd w:fill="1A3A6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Standard MHD</w:t>
            </w:r>
          </w:p>
        </w:tc>
        <w:tc>
          <w:tcPr>
            <w:tcW w:type="dxa" w:w="1900"/>
            <w:tcBorders>
              <w:top w:val="single" w:color="1F5C8B" w:sz="1"/>
              <w:left w:val="single" w:color="1F5C8B" w:sz="1"/>
              <w:bottom w:val="single" w:color="1F5C8B" w:sz="1"/>
              <w:right w:val="single" w:color="1F5C8B" w:sz="1"/>
            </w:tcBorders>
            <w:shd w:fill="1A3A6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CCDR</w:t>
            </w:r>
          </w:p>
        </w:tc>
        <w:tc>
          <w:tcPr>
            <w:tcW w:type="dxa" w:w="1880"/>
            <w:tcBorders>
              <w:top w:val="single" w:color="1F5C8B" w:sz="1"/>
              <w:left w:val="single" w:color="1F5C8B" w:sz="1"/>
              <w:bottom w:val="single" w:color="1F5C8B" w:sz="1"/>
              <w:right w:val="single" w:color="1F5C8B" w:sz="1"/>
            </w:tcBorders>
            <w:shd w:fill="1A3A6A"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Test</w:t>
            </w:r>
          </w:p>
        </w:tc>
      </w:tr>
      <w:tr>
        <w:tc>
          <w:tcPr>
            <w:tcW w:type="dxa" w:w="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S1</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Aurora ∝ IMF helicity, not just Bz</w:t>
            </w:r>
          </w:p>
        </w:tc>
        <w:tc>
          <w:tcPr>
            <w:tcW w:type="dxa" w:w="1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Aurora ∝ Bz southward</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Aurora ∝ Bz × helicity density</w:t>
            </w:r>
          </w:p>
        </w:tc>
        <w:tc>
          <w:tcPr>
            <w:tcW w:type="dxa" w:w="1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ACE/DSCOVR IMF winding × auroral intensity statistics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Reconnection rate ∝ helicity mismatch</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Rate ∝ field strength only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Secondary dependence on IMF spiral pitch</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Simultaneous reconnection + IMF winding data</w:t>
            </w:r>
          </w:p>
        </w:tc>
      </w:tr>
      <w:tr>
        <w:tc>
          <w:tcPr>
            <w:tcW w:type="dxa" w:w="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S3</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Substorm onset ∝ helicity accumulation</w:t>
            </w:r>
          </w:p>
        </w:tc>
        <w:tc>
          <w:tcPr>
            <w:tcW w:type="dxa" w:w="1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Onset ∝ tail field magnitude</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Onset ∝ integrated helicity input</w:t>
            </w:r>
          </w:p>
        </w:tc>
        <w:tc>
          <w:tcPr>
            <w:tcW w:type="dxa" w:w="1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THEMIS tail field + IMF helicity time series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Substorm wedge expands without dispersion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Wave packet broadens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Soliton edge stays sharp</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All-sky camera edge sharpness vs. distance</w:t>
            </w:r>
          </w:p>
        </w:tc>
      </w:tr>
      <w:tr>
        <w:tc>
          <w:tcPr>
            <w:tcW w:type="dxa" w:w="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S5</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Aurora brightness superlinear in helicity</w:t>
            </w:r>
          </w:p>
        </w:tc>
        <w:tc>
          <w:tcPr>
            <w:tcW w:type="dxa" w:w="1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Linear in electron flux</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Threshold + superlinear in helicity</w:t>
            </w:r>
          </w:p>
        </w:tc>
        <w:tc>
          <w:tcPr>
            <w:tcW w:type="dxa" w:w="1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Co-located auroral cameras + magnetometers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Aurora sub-harmonic spectral structure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Pure atomic line emission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Phonon recombination continuum added</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High-resolution auroral spectrograph</w:t>
            </w:r>
          </w:p>
        </w:tc>
      </w:tr>
      <w:tr>
        <w:tc>
          <w:tcPr>
            <w:tcW w:type="dxa" w:w="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S7</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Ball lightning peaks at solar minimum</w:t>
            </w:r>
          </w:p>
        </w:tc>
        <w:tc>
          <w:tcPr>
            <w:tcW w:type="dxa" w:w="1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More lightning near solar max</w:t>
            </w:r>
          </w:p>
        </w:tc>
        <w:tc>
          <w:tcPr>
            <w:tcW w:type="dxa" w:w="1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Optical phonon modes free when solar helicity ≈ 0</w:t>
            </w:r>
          </w:p>
        </w:tc>
        <w:tc>
          <w:tcPr>
            <w:tcW w:type="dxa" w:w="1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8"/>
                <w:szCs w:val="18"/>
              </w:rPr>
              <w:t xml:space="preserve">Historical ball lightning database × solar cycle phase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Storm intensity ∝ CME helicity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Storm intensity ∝ peak Bz</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Better predicted by CME flux rope helicity</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CME flux rope catalogues × Dst index</w:t>
            </w:r>
          </w:p>
        </w:tc>
      </w:tr>
    </w:tbl>
    <w:p>
      <w:pPr>
        <w:spacing w:before="60" w:after="60"/>
      </w:pP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12. Conclusion</w:t>
      </w:r>
    </w:p>
    <w:p>
      <w:pPr>
        <w:spacing w:before="80" w:after="80"/>
      </w:pPr>
      <w:r>
        <w:rPr>
          <w:rFonts w:ascii="Palatino Linotype" w:cs="Palatino Linotype" w:eastAsia="Palatino Linotype" w:hAnsi="Palatino Linotype"/>
          <w:sz w:val="22"/>
          <w:szCs w:val="22"/>
        </w:rPr>
        <w:t xml:space="preserve">In standard physics, the solar wind → magnetosphere → aurora chain is an energy cascade: kinetic energy → magnetic energy → particle kinetic energy → optical emission. Each step loses some energy and converts the rest.</w:t>
      </w:r>
    </w:p>
    <w:p>
      <w:pPr>
        <w:spacing w:before="60" w:after="60"/>
      </w:pPr>
    </w:p>
    <w:p>
      <w:pPr>
        <w:spacing w:before="80" w:after="80"/>
      </w:pPr>
      <w:r>
        <w:rPr>
          <w:rFonts w:ascii="Palatino Linotype" w:cs="Palatino Linotype" w:eastAsia="Palatino Linotype" w:hAnsi="Palatino Linotype"/>
          <w:sz w:val="22"/>
          <w:szCs w:val="22"/>
        </w:rPr>
        <w:t xml:space="preserve">In CCDR, the chain is a topological charge transfer: helicity flows from the Sun’s condensate to the magnetosphere to the ionosphere. The aurora is not the thermodynamic waste product of an energy cascade — it is the visible signature of topological charge reaching its destination and nucleating an optical phonon mode.</w:t>
      </w:r>
    </w:p>
    <w:p>
      <w:pPr>
        <w:spacing w:before="60" w:after="60"/>
      </w:pPr>
    </w:p>
    <w:p>
      <w:pPr>
        <w:spacing w:before="80" w:after="80"/>
      </w:pPr>
      <w:r>
        <w:rPr>
          <w:rFonts w:ascii="Palatino Linotype" w:cs="Palatino Linotype" w:eastAsia="Palatino Linotype" w:hAnsi="Palatino Linotype"/>
          <w:sz w:val="22"/>
          <w:szCs w:val="22"/>
        </w:rPr>
        <w:t xml:space="preserve">The light of the aurora is the electromagnetic boundary layer of a giant ball lightning, charged by the Sun’s rotation and delivered across 150 million kilometres of space by a helicity current winding around magnetic field lines in a Parker spiral. The Sun is not merely warming the magnetosphere. It is continuously winding topological charge into it, and the aurora is where that charge unwinds.</w:t>
      </w:r>
    </w:p>
    <w:p>
      <w:pPr>
        <w:pBdr>
          <w:bottom w:val="single" w:color="2C5F8A" w:sz="4" w:space="1"/>
        </w:pBdr>
        <w:spacing w:before="120" w:after="120"/>
      </w:pPr>
    </w:p>
    <w:p>
      <w:pPr>
        <w:pStyle w:val="Heading1"/>
        <w:spacing w:before="320" w:after="120"/>
      </w:pPr>
      <w:r>
        <w:rPr>
          <w:rFonts w:ascii="Georgia" w:cs="Georgia" w:eastAsia="Georgia" w:hAnsi="Georgia"/>
          <w:b/>
          <w:bCs/>
          <w:color w:val="1A3A6A"/>
          <w:sz w:val="30"/>
          <w:szCs w:val="30"/>
        </w:rPr>
        <w:t xml:space="preserve">References</w:t>
      </w:r>
    </w:p>
    <w:p>
      <w:pPr>
        <w:spacing w:before="80" w:after="80"/>
      </w:pPr>
      <w:r>
        <w:rPr>
          <w:rFonts w:ascii="Palatino Linotype" w:cs="Palatino Linotype" w:eastAsia="Palatino Linotype" w:hAnsi="Palatino Linotype"/>
          <w:sz w:val="22"/>
          <w:szCs w:val="22"/>
        </w:rPr>
        <w:t xml:space="preserve">[1] Rakovskyi, D. (2026). CCDR Version 6. IJSR SR24703042047. github.com/rakovpublic/jneopallium.</w:t>
      </w:r>
    </w:p>
    <w:p>
      <w:pPr>
        <w:spacing w:before="80" w:after="80"/>
      </w:pPr>
      <w:r>
        <w:rPr>
          <w:rFonts w:ascii="Palatino Linotype" w:cs="Palatino Linotype" w:eastAsia="Palatino Linotype" w:hAnsi="Palatino Linotype"/>
          <w:sz w:val="22"/>
          <w:szCs w:val="22"/>
        </w:rPr>
        <w:t xml:space="preserve">[2] Parker, E.N. (1958). Dynamics of the interplanetary gas and magnetic fields. Astrophys. J. 128, 664.</w:t>
      </w:r>
    </w:p>
    <w:p>
      <w:pPr>
        <w:spacing w:before="80" w:after="80"/>
      </w:pPr>
      <w:r>
        <w:rPr>
          <w:rFonts w:ascii="Palatino Linotype" w:cs="Palatino Linotype" w:eastAsia="Palatino Linotype" w:hAnsi="Palatino Linotype"/>
          <w:sz w:val="22"/>
          <w:szCs w:val="22"/>
        </w:rPr>
        <w:t xml:space="preserve">[3] Dungey, J.W. (1961). Interplanetary magnetic field and the auroral zones. Phys. Rev. Lett. 6, 47.</w:t>
      </w:r>
    </w:p>
    <w:p>
      <w:pPr>
        <w:spacing w:before="80" w:after="80"/>
      </w:pPr>
      <w:r>
        <w:rPr>
          <w:rFonts w:ascii="Palatino Linotype" w:cs="Palatino Linotype" w:eastAsia="Palatino Linotype" w:hAnsi="Palatino Linotype"/>
          <w:sz w:val="22"/>
          <w:szCs w:val="22"/>
        </w:rPr>
        <w:t xml:space="preserve">[4] Petschek, H.E. (1964). Magnetic field annihilation. NASA SP-50, 425.</w:t>
      </w:r>
    </w:p>
    <w:p>
      <w:pPr>
        <w:spacing w:before="80" w:after="80"/>
      </w:pPr>
      <w:r>
        <w:rPr>
          <w:rFonts w:ascii="Palatino Linotype" w:cs="Palatino Linotype" w:eastAsia="Palatino Linotype" w:hAnsi="Palatino Linotype"/>
          <w:sz w:val="22"/>
          <w:szCs w:val="22"/>
        </w:rPr>
        <w:t xml:space="preserve">[5] Kovtun, P., Son, D.T. &amp; Starinets, A.O. (2005). Viscosity in strongly interacting quantum field theories. Phys. Rev. Lett. 94, 111601.</w:t>
      </w:r>
    </w:p>
    <w:p>
      <w:pPr>
        <w:spacing w:before="80" w:after="80"/>
      </w:pPr>
      <w:r>
        <w:rPr>
          <w:rFonts w:ascii="Palatino Linotype" w:cs="Palatino Linotype" w:eastAsia="Palatino Linotype" w:hAnsi="Palatino Linotype"/>
          <w:sz w:val="22"/>
          <w:szCs w:val="22"/>
        </w:rPr>
        <w:t xml:space="preserve">[6] Angelopoulos, V. et al. (2008). Tail reconnection triggering substorm onset. Science 321, 931.</w:t>
      </w:r>
    </w:p>
    <w:p>
      <w:pPr>
        <w:spacing w:before="80" w:after="80"/>
      </w:pPr>
      <w:r>
        <w:rPr>
          <w:rFonts w:ascii="Palatino Linotype" w:cs="Palatino Linotype" w:eastAsia="Palatino Linotype" w:hAnsi="Palatino Linotype"/>
          <w:sz w:val="22"/>
          <w:szCs w:val="22"/>
        </w:rPr>
        <w:t xml:space="preserve">[7] Iijima, T. &amp; Potemra, T.A. (1976). Field-aligned currents in the dayside cusp observed by Triad. J. Geophys. Res. 81, 5971.</w:t>
      </w:r>
    </w:p>
    <w:p>
      <w:pPr>
        <w:spacing w:before="80" w:after="80"/>
      </w:pPr>
      <w:r>
        <w:rPr>
          <w:rFonts w:ascii="Palatino Linotype" w:cs="Palatino Linotype" w:eastAsia="Palatino Linotype" w:hAnsi="Palatino Linotype"/>
          <w:sz w:val="22"/>
          <w:szCs w:val="22"/>
        </w:rPr>
        <w:t xml:space="preserve">[8] Berger, M.A. (1999). Introduction to magnetic helicity. Plasma Phys. Control. Fusion 41, B167.</w:t>
      </w:r>
    </w:p>
    <w:p>
      <w:pPr>
        <w:spacing w:before="80" w:after="80"/>
      </w:pPr>
      <w:r>
        <w:rPr>
          <w:rFonts w:ascii="Palatino Linotype" w:cs="Palatino Linotype" w:eastAsia="Palatino Linotype" w:hAnsi="Palatino Linotype"/>
          <w:sz w:val="22"/>
          <w:szCs w:val="22"/>
        </w:rPr>
        <w:t xml:space="preserve">[9] DeRosa, M.L. et al. (2009). A critical assessment of nonlinear force-free field modeling. Astrophys. J. 696, 1780.</w:t>
      </w:r>
    </w:p>
    <w:p>
      <w:pPr>
        <w:spacing w:before="80" w:after="80"/>
      </w:pPr>
      <w:r>
        <w:rPr>
          <w:rFonts w:ascii="Palatino Linotype" w:cs="Palatino Linotype" w:eastAsia="Palatino Linotype" w:hAnsi="Palatino Linotype"/>
          <w:sz w:val="22"/>
          <w:szCs w:val="22"/>
        </w:rPr>
        <w:t xml:space="preserve">[10] Farrugia, C.J. &amp; Berdichevsky, D.B. (2004). Interacting interplanetary structures. Ann. Geophys. 22, 3679.</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CCDR: Solar Wind, Magnetic Field &amp; Aurora · Rakovskyi 2026 · Page </w:t>
    </w:r>
    <w:r>
      <w:rPr>
        <w:rFonts w:ascii="Palatino Linotype" w:cs="Palatino Linotype" w:eastAsia="Palatino Linotype" w:hAnsi="Palatino Linotype"/>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Georgia" w:cs="Georgia" w:eastAsia="Georgia" w:hAnsi="Georgia"/>
      <w:b/>
      <w:bCs/>
      <w:color w:val="1A3A6A"/>
      <w:sz w:val="30"/>
      <w:szCs w:val="30"/>
    </w:rPr>
  </w:style>
  <w:style w:type="paragraph" w:styleId="Heading2">
    <w:name w:val="Heading 2"/>
    <w:basedOn w:val="Normal"/>
    <w:next w:val="Normal"/>
    <w:qFormat/>
    <w:pPr>
      <w:spacing w:before="240" w:after="80"/>
      <w:outlineLvl w:val="1"/>
    </w:pPr>
    <w:rPr>
      <w:rFonts w:ascii="Georgia" w:cs="Georgia" w:eastAsia="Georgia" w:hAnsi="Georgia"/>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2026-03-19T16:25:58.973Z</dcterms:created>
  <dcterms:modified xsi:type="dcterms:W3CDTF">2026-03-19T16:25:58.973Z</dcterms:modified>
</cp:coreProperties>
</file>

<file path=docProps/custom.xml><?xml version="1.0" encoding="utf-8"?>
<Properties xmlns="http://schemas.openxmlformats.org/officeDocument/2006/custom-properties" xmlns:vt="http://schemas.openxmlformats.org/officeDocument/2006/docPropsVTypes"/>
</file>