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line="276" w:lineRule="auto"/>
        <w:ind/>
        <w:jc w:val="center"/>
      </w:pPr>
      <w:r>
        <w:rPr>
          <w:rFonts w:ascii="Times New Roman" w:cs="Times New Roman" w:eastAsia="Times New Roman" w:hAnsi="Times New Roman"/>
          <w:b/>
          <w:bCs/>
          <w:i w:val="false"/>
          <w:iCs w:val="false"/>
          <w:color w:val="0D1B40"/>
          <w:sz w:val="42"/>
          <w:szCs w:val="42"/>
        </w:rPr>
        <w:t xml:space="preserve">CCDR ENGINEERING</w:t>
      </w:r>
    </w:p>
    <w:p>
      <w:pPr>
        <w:spacing w:before="0" w:after="80" w:line="276" w:lineRule="auto"/>
        <w:ind/>
        <w:jc w:val="center"/>
      </w:pPr>
      <w:r>
        <w:rPr>
          <w:rFonts w:ascii="Times New Roman" w:cs="Times New Roman" w:eastAsia="Times New Roman" w:hAnsi="Times New Roman"/>
          <w:b/>
          <w:bCs/>
          <w:i w:val="false"/>
          <w:iCs w:val="false"/>
          <w:color w:val="1E3A8A"/>
          <w:sz w:val="28"/>
          <w:szCs w:val="28"/>
        </w:rPr>
        <w:t xml:space="preserve">Practical Applications of Crystallographic Cosmology from Dimensional Reduction</w:t>
      </w:r>
    </w:p>
    <w:p>
      <w:pPr>
        <w:spacing w:before="0" w:after="60" w:line="276" w:lineRule="auto"/>
        <w:ind/>
        <w:jc w:val="center"/>
      </w:pPr>
      <w:r>
        <w:rPr>
          <w:rFonts w:ascii="Times New Roman" w:cs="Times New Roman" w:eastAsia="Times New Roman" w:hAnsi="Times New Roman"/>
          <w:b w:val="false"/>
          <w:bCs w:val="false"/>
          <w:i/>
          <w:iCs/>
          <w:color w:val="4B5563"/>
          <w:sz w:val="24"/>
          <w:szCs w:val="24"/>
        </w:rPr>
        <w:t xml:space="preserve">Fusion Reactors · Quantum Computers · Advanced Materials</w:t>
      </w:r>
    </w:p>
    <w:p>
      <w:pPr>
        <w:spacing w:before="0" w:after="160" w:line="276" w:lineRule="auto"/>
        <w:ind/>
        <w:jc w:val="center"/>
      </w:pPr>
      <w:r>
        <w:rPr>
          <w:rFonts w:ascii="Times New Roman" w:cs="Times New Roman" w:eastAsia="Times New Roman" w:hAnsi="Times New Roman"/>
          <w:b w:val="false"/>
          <w:bCs w:val="false"/>
          <w:i w:val="false"/>
          <w:iCs w:val="false"/>
          <w:color w:val="4B5563"/>
          <w:sz w:val="20"/>
          <w:szCs w:val="20"/>
        </w:rPr>
        <w:t xml:space="preserve">[Authors withheld for review] · March 2026</w:t>
      </w:r>
    </w:p>
    <w:p>
      <w:pPr>
        <w:pBdr>
          <w:bottom w:val="single" w:color="2563EB" w:sz="6" w:space="1"/>
        </w:pBdr>
        <w:spacing w:before="160" w:after="160"/>
      </w:pPr>
    </w:p>
    <w:p>
      <w:pPr>
        <w:spacing w:before="480" w:after="120"/>
      </w:pPr>
      <w:r>
        <w:rPr>
          <w:rFonts w:ascii="Arial" w:cs="Arial" w:eastAsia="Arial" w:hAnsi="Arial"/>
          <w:b/>
          <w:bCs/>
          <w:caps/>
          <w:color w:val="0D1B40"/>
          <w:spacing w:val="60"/>
          <w:sz w:val="36"/>
          <w:szCs w:val="36"/>
        </w:rPr>
        <w:t xml:space="preserve">Executive Summary</w:t>
      </w:r>
    </w:p>
    <w:p>
      <w:pPr>
        <w:spacing w:before="0" w:after="160" w:line="276" w:lineRule="auto"/>
        <w:ind w:firstLine="400"/>
        <w:jc w:val="both"/>
      </w:pPr>
      <w:r>
        <w:rPr>
          <w:rFonts w:ascii="Times New Roman" w:cs="Times New Roman" w:eastAsia="Times New Roman" w:hAnsi="Times New Roman"/>
          <w:b w:val="false"/>
          <w:bCs w:val="false"/>
          <w:i w:val="false"/>
          <w:iCs w:val="false"/>
          <w:color w:val="111111"/>
          <w:sz w:val="24"/>
          <w:szCs w:val="24"/>
        </w:rPr>
        <w:t xml:space="preserve">Crystallographic cosmology from dimensional reduction (CCDR) identifies the universe as a 3+1-dimensional spacetime crystal nucleated from a higher-dimensional bulk, cooling along the Running Vacuum Model (RVM) curve. Within this framework, visible matter is the acoustic phonon sector of the cosmological lattice, dark matter is the orthogonal optical phonon sector, and every material crystal is a local realisation of this universal structure.</w:t>
      </w:r>
    </w:p>
    <w:p>
      <w:pPr>
        <w:spacing w:before="0" w:after="160" w:line="276" w:lineRule="auto"/>
        <w:ind w:firstLine="400"/>
        <w:jc w:val="both"/>
      </w:pPr>
      <w:r>
        <w:rPr>
          <w:rFonts w:ascii="Times New Roman" w:cs="Times New Roman" w:eastAsia="Times New Roman" w:hAnsi="Times New Roman"/>
          <w:b w:val="false"/>
          <w:bCs w:val="false"/>
          <w:i w:val="false"/>
          <w:iCs w:val="false"/>
          <w:color w:val="111111"/>
          <w:sz w:val="24"/>
          <w:szCs w:val="24"/>
        </w:rPr>
        <w:t xml:space="preserve">This article translates three core CCDR predictions into engineering practice. In fusion reactor design, the KSS viscosity bound and the ball-lightning analogy of edge-localised modes provide a theoretical minimum for plasma transport coefficients and a helicity-based strategy for ELM suppression. In quantum computing, acoustic-optical phonon orthogonality motivates phononic crystal substrates and dark-sector qubit encoding, while the spacetime time crystal structure motivates discrete time crystal (DTC) error correction. In advanced materials, the Kibble-Zurek mechanism from cosmological phase transition physics gives an optimal grain boundary processing protocol, and magnetic helicity engineering in skyrmion lattices points toward room-temperature topologically protected quantum memory.</w:t>
      </w:r>
    </w:p>
    <w:p>
      <w:pPr>
        <w:spacing w:before="0" w:after="160" w:line="276" w:lineRule="auto"/>
        <w:ind w:firstLine="400"/>
        <w:jc w:val="both"/>
      </w:pPr>
      <w:r>
        <w:rPr>
          <w:rFonts w:ascii="Times New Roman" w:cs="Times New Roman" w:eastAsia="Times New Roman" w:hAnsi="Times New Roman"/>
          <w:b w:val="false"/>
          <w:bCs w:val="false"/>
          <w:i w:val="false"/>
          <w:iCs w:val="false"/>
          <w:color w:val="111111"/>
          <w:sz w:val="24"/>
          <w:szCs w:val="24"/>
        </w:rPr>
        <w:t xml:space="preserve">Each application is grounded in equations already present in the CCDR theoretical framework (see companion article: CCDR v4 English/Ukrainian). The unified design principle across all three domains is: engineer at the boundary between the acoustic (Standard Model) and optical (dark matter) phonon sectors, where viscosity is minimised, decoherence is suppressed, and topological protection is exact.</w:t>
      </w:r>
    </w:p>
    <w:p>
      <w:pPr>
        <w:pBdr>
          <w:bottom w:val="single" w:color="CBD5E1" w:sz="6" w:space="1"/>
        </w:pBdr>
        <w:spacing w:before="160" w:after="160"/>
      </w:pPr>
    </w:p>
    <w:p>
      <w:pPr>
        <w:spacing w:before="320" w:after="120"/>
      </w:pPr>
      <w:r>
        <w:rPr>
          <w:rFonts w:ascii="Arial" w:cs="Arial" w:eastAsia="Arial" w:hAnsi="Arial"/>
          <w:b/>
          <w:bCs/>
          <w:caps w:val="false"/>
          <w:color w:val="1E3A8A"/>
          <w:sz w:val="28"/>
          <w:szCs w:val="28"/>
        </w:rPr>
        <w:t xml:space="preserve">Overview: CCDR Engineering Map</w:t>
      </w:r>
    </w:p>
    <w:p>
      <w:pPr>
        <w:spacing w:before="40" w:after="0"/>
      </w:pP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1320"/>
        <w:gridCol w:w="2200"/>
        <w:gridCol w:w="2400"/>
        <w:gridCol w:w="2240"/>
      </w:tblGrid>
      <w:tr>
        <w:tc>
          <w:tcPr>
            <w:tcW w:type="dxa" w:w="1320"/>
            <w:tcBorders>
              <w:top w:val="single" w:color="0D1B40" w:sz="4"/>
              <w:left w:val="single" w:color="0D1B40" w:sz="4"/>
              <w:bottom w:val="single" w:color="0D1B40" w:sz="4"/>
              <w:right w:val="single" w:color="0D1B40" w:sz="4"/>
            </w:tcBorders>
            <w:shd w:fill="DBEAFE" w:val="clear"/>
            <w:tcMar>
              <w:top w:type="dxa" w:w="80"/>
              <w:left w:type="dxa" w:w="120"/>
              <w:bottom w:type="dxa" w:w="80"/>
              <w:right w:type="dxa" w:w="120"/>
            </w:tcMar>
          </w:tcPr>
          <w:p>
            <w:r>
              <w:rPr>
                <w:rFonts w:ascii="Arial" w:cs="Arial" w:eastAsia="Arial" w:hAnsi="Arial"/>
                <w:b/>
                <w:bCs/>
                <w:color w:val="0D1B40"/>
                <w:sz w:val="19"/>
                <w:szCs w:val="19"/>
              </w:rPr>
              <w:t xml:space="preserve">Domain</w:t>
            </w:r>
          </w:p>
        </w:tc>
        <w:tc>
          <w:tcPr>
            <w:tcW w:type="dxa" w:w="2200"/>
            <w:tcBorders>
              <w:top w:val="single" w:color="0D1B40" w:sz="4"/>
              <w:left w:val="single" w:color="0D1B40" w:sz="4"/>
              <w:bottom w:val="single" w:color="0D1B40" w:sz="4"/>
              <w:right w:val="single" w:color="0D1B40" w:sz="4"/>
            </w:tcBorders>
            <w:shd w:fill="DBEAFE" w:val="clear"/>
            <w:tcMar>
              <w:top w:type="dxa" w:w="80"/>
              <w:left w:type="dxa" w:w="120"/>
              <w:bottom w:type="dxa" w:w="80"/>
              <w:right w:type="dxa" w:w="120"/>
            </w:tcMar>
          </w:tcPr>
          <w:p>
            <w:r>
              <w:rPr>
                <w:rFonts w:ascii="Arial" w:cs="Arial" w:eastAsia="Arial" w:hAnsi="Arial"/>
                <w:b/>
                <w:bCs/>
                <w:color w:val="0D1B40"/>
                <w:sz w:val="19"/>
                <w:szCs w:val="19"/>
              </w:rPr>
              <w:t xml:space="preserve">CCDR Mechanism</w:t>
            </w:r>
          </w:p>
        </w:tc>
        <w:tc>
          <w:tcPr>
            <w:tcW w:type="dxa" w:w="2400"/>
            <w:tcBorders>
              <w:top w:val="single" w:color="0D1B40" w:sz="4"/>
              <w:left w:val="single" w:color="0D1B40" w:sz="4"/>
              <w:bottom w:val="single" w:color="0D1B40" w:sz="4"/>
              <w:right w:val="single" w:color="0D1B40" w:sz="4"/>
            </w:tcBorders>
            <w:shd w:fill="DBEAFE" w:val="clear"/>
            <w:tcMar>
              <w:top w:type="dxa" w:w="80"/>
              <w:left w:type="dxa" w:w="120"/>
              <w:bottom w:type="dxa" w:w="80"/>
              <w:right w:type="dxa" w:w="120"/>
            </w:tcMar>
          </w:tcPr>
          <w:p>
            <w:r>
              <w:rPr>
                <w:rFonts w:ascii="Arial" w:cs="Arial" w:eastAsia="Arial" w:hAnsi="Arial"/>
                <w:b/>
                <w:bCs/>
                <w:color w:val="0D1B40"/>
                <w:sz w:val="19"/>
                <w:szCs w:val="19"/>
              </w:rPr>
              <w:t xml:space="preserve">Engineering Target</w:t>
            </w:r>
          </w:p>
        </w:tc>
        <w:tc>
          <w:tcPr>
            <w:tcW w:type="dxa" w:w="2240"/>
            <w:tcBorders>
              <w:top w:val="single" w:color="0D1B40" w:sz="4"/>
              <w:left w:val="single" w:color="0D1B40" w:sz="4"/>
              <w:bottom w:val="single" w:color="0D1B40" w:sz="4"/>
              <w:right w:val="single" w:color="0D1B40" w:sz="4"/>
            </w:tcBorders>
            <w:shd w:fill="DBEAFE" w:val="clear"/>
            <w:tcMar>
              <w:top w:type="dxa" w:w="80"/>
              <w:left w:type="dxa" w:w="120"/>
              <w:bottom w:type="dxa" w:w="80"/>
              <w:right w:type="dxa" w:w="120"/>
            </w:tcMar>
          </w:tcPr>
          <w:p>
            <w:r>
              <w:rPr>
                <w:rFonts w:ascii="Arial" w:cs="Arial" w:eastAsia="Arial" w:hAnsi="Arial"/>
                <w:b/>
                <w:bCs/>
                <w:color w:val="0D1B40"/>
                <w:sz w:val="19"/>
                <w:szCs w:val="19"/>
              </w:rPr>
              <w:t xml:space="preserve">Observable Benefit</w:t>
            </w:r>
          </w:p>
        </w:tc>
      </w:tr>
      <w:tr>
        <w:tc>
          <w:tcPr>
            <w:tcW w:type="dxa" w:w="132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color w:val="111111"/>
                <w:sz w:val="19"/>
                <w:szCs w:val="19"/>
              </w:rPr>
              <w:t xml:space="preserve">Fusion plasma</w:t>
            </w:r>
          </w:p>
        </w:tc>
        <w:tc>
          <w:tcPr>
            <w:tcW w:type="dxa" w:w="22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color w:val="111111"/>
                <w:sz w:val="19"/>
                <w:szCs w:val="19"/>
              </w:rPr>
              <w:t xml:space="preserve">KSS bound approach via phonon mode engineering</w:t>
            </w:r>
          </w:p>
        </w:tc>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color w:val="111111"/>
                <w:sz w:val="19"/>
                <w:szCs w:val="19"/>
              </w:rPr>
              <w:t xml:space="preserve">eta/s -&gt; hbar/4pi*kB ~ 10^-12 Pa*s</w:t>
            </w:r>
          </w:p>
        </w:tc>
        <w:tc>
          <w:tcPr>
            <w:tcW w:type="dxa" w:w="224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color w:val="111111"/>
                <w:sz w:val="19"/>
                <w:szCs w:val="19"/>
              </w:rPr>
              <w:t xml:space="preserve">Turbulence suppression; 10^6x viscosity reduction target</w:t>
            </w:r>
          </w:p>
        </w:tc>
      </w:tr>
      <w:tr>
        <w:tc>
          <w:tcPr>
            <w:tcW w:type="dxa" w:w="132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111111"/>
                <w:sz w:val="19"/>
                <w:szCs w:val="19"/>
              </w:rPr>
              <w:t xml:space="preserve">Fusion ELMs</w:t>
            </w:r>
          </w:p>
        </w:tc>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111111"/>
                <w:sz w:val="19"/>
                <w:szCs w:val="19"/>
              </w:rPr>
              <w:t xml:space="preserve">Magnetic helicity reduction at separatrix</w:t>
            </w:r>
          </w:p>
        </w:tc>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111111"/>
                <w:sz w:val="19"/>
                <w:szCs w:val="19"/>
              </w:rPr>
              <w:t xml:space="preserve">H_mag = integral(A.B d^3x) -&gt; 0</w:t>
            </w:r>
          </w:p>
        </w:tc>
        <w:tc>
          <w:tcPr>
            <w:tcW w:type="dxa" w:w="224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111111"/>
                <w:sz w:val="19"/>
                <w:szCs w:val="19"/>
              </w:rPr>
              <w:t xml:space="preserve">ELM suppression; reduced first-wall damage</w:t>
            </w:r>
          </w:p>
        </w:tc>
      </w:tr>
      <w:tr>
        <w:tc>
          <w:tcPr>
            <w:tcW w:type="dxa" w:w="132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color w:val="111111"/>
                <w:sz w:val="19"/>
                <w:szCs w:val="19"/>
              </w:rPr>
              <w:t xml:space="preserve">Qubit substrate</w:t>
            </w:r>
          </w:p>
        </w:tc>
        <w:tc>
          <w:tcPr>
            <w:tcW w:type="dxa" w:w="22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color w:val="111111"/>
                <w:sz w:val="19"/>
                <w:szCs w:val="19"/>
              </w:rPr>
              <w:t xml:space="preserve">Phononic bandgap at qubit frequency</w:t>
            </w:r>
          </w:p>
        </w:tc>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color w:val="111111"/>
                <w:sz w:val="19"/>
                <w:szCs w:val="19"/>
              </w:rPr>
              <w:t xml:space="preserve">rho_phonon(omega_qubit) = 0</w:t>
            </w:r>
          </w:p>
        </w:tc>
        <w:tc>
          <w:tcPr>
            <w:tcW w:type="dxa" w:w="224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color w:val="111111"/>
                <w:sz w:val="19"/>
                <w:szCs w:val="19"/>
              </w:rPr>
              <w:t xml:space="preserve">Extended T1, T2 coherence times</w:t>
            </w:r>
          </w:p>
        </w:tc>
      </w:tr>
      <w:tr>
        <w:tc>
          <w:tcPr>
            <w:tcW w:type="dxa" w:w="132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111111"/>
                <w:sz w:val="19"/>
                <w:szCs w:val="19"/>
              </w:rPr>
              <w:t xml:space="preserve">Qubit encoding</w:t>
            </w:r>
          </w:p>
        </w:tc>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111111"/>
                <w:sz w:val="19"/>
                <w:szCs w:val="19"/>
              </w:rPr>
              <w:t xml:space="preserve">Optical phonon pinning via H_mag =/= 0</w:t>
            </w:r>
          </w:p>
        </w:tc>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111111"/>
                <w:sz w:val="19"/>
                <w:szCs w:val="19"/>
              </w:rPr>
              <w:t xml:space="preserve">Decoherence floor -&gt; T_inf ~ 10^-30 K</w:t>
            </w:r>
          </w:p>
        </w:tc>
        <w:tc>
          <w:tcPr>
            <w:tcW w:type="dxa" w:w="224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111111"/>
                <w:sz w:val="19"/>
                <w:szCs w:val="19"/>
              </w:rPr>
              <w:t xml:space="preserve">Near-zero decoherence; dark-sector qubit</w:t>
            </w:r>
          </w:p>
        </w:tc>
      </w:tr>
      <w:tr>
        <w:tc>
          <w:tcPr>
            <w:tcW w:type="dxa" w:w="132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color w:val="111111"/>
                <w:sz w:val="19"/>
                <w:szCs w:val="19"/>
              </w:rPr>
              <w:t xml:space="preserve">Qubit memory</w:t>
            </w:r>
          </w:p>
        </w:tc>
        <w:tc>
          <w:tcPr>
            <w:tcW w:type="dxa" w:w="22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color w:val="111111"/>
                <w:sz w:val="19"/>
                <w:szCs w:val="19"/>
              </w:rPr>
              <w:t xml:space="preserve">Discrete time crystal (DTC) phase</w:t>
            </w:r>
          </w:p>
        </w:tc>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color w:val="111111"/>
                <w:sz w:val="19"/>
                <w:szCs w:val="19"/>
              </w:rPr>
              <w:t xml:space="preserve">Topological protection of qubit state</w:t>
            </w:r>
          </w:p>
        </w:tc>
        <w:tc>
          <w:tcPr>
            <w:tcW w:type="dxa" w:w="224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color w:val="111111"/>
                <w:sz w:val="19"/>
                <w:szCs w:val="19"/>
              </w:rPr>
              <w:t xml:space="preserve">Intrinsic error correction; no ancilla overhead</w:t>
            </w:r>
          </w:p>
        </w:tc>
      </w:tr>
      <w:tr>
        <w:tc>
          <w:tcPr>
            <w:tcW w:type="dxa" w:w="132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111111"/>
                <w:sz w:val="19"/>
                <w:szCs w:val="19"/>
              </w:rPr>
              <w:t xml:space="preserve">Thermal materials</w:t>
            </w:r>
          </w:p>
        </w:tc>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111111"/>
                <w:sz w:val="19"/>
                <w:szCs w:val="19"/>
              </w:rPr>
              <w:t xml:space="preserve">Acoustic-optical phonon orthogonality</w:t>
            </w:r>
          </w:p>
        </w:tc>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111111"/>
                <w:sz w:val="19"/>
                <w:szCs w:val="19"/>
              </w:rPr>
              <w:t xml:space="preserve">Max thermal conductivity (KSS analogue)</w:t>
            </w:r>
          </w:p>
        </w:tc>
        <w:tc>
          <w:tcPr>
            <w:tcW w:type="dxa" w:w="224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111111"/>
                <w:sz w:val="19"/>
                <w:szCs w:val="19"/>
              </w:rPr>
              <w:t xml:space="preserve">Zero-loss phonon transport; chip cooling</w:t>
            </w:r>
          </w:p>
        </w:tc>
      </w:tr>
      <w:tr>
        <w:tc>
          <w:tcPr>
            <w:tcW w:type="dxa" w:w="132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color w:val="111111"/>
                <w:sz w:val="19"/>
                <w:szCs w:val="19"/>
              </w:rPr>
              <w:t xml:space="preserve">Grain boundaries</w:t>
            </w:r>
          </w:p>
        </w:tc>
        <w:tc>
          <w:tcPr>
            <w:tcW w:type="dxa" w:w="22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color w:val="111111"/>
                <w:sz w:val="19"/>
                <w:szCs w:val="19"/>
              </w:rPr>
              <w:t xml:space="preserve">Kibble-Zurek optimal cooling profile</w:t>
            </w:r>
          </w:p>
        </w:tc>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color w:val="111111"/>
                <w:sz w:val="19"/>
                <w:szCs w:val="19"/>
              </w:rPr>
              <w:t xml:space="preserve">Min defect density xi ~ (rate)^-1/(1+z)</w:t>
            </w:r>
          </w:p>
        </w:tc>
        <w:tc>
          <w:tcPr>
            <w:tcW w:type="dxa" w:w="224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color w:val="111111"/>
                <w:sz w:val="19"/>
                <w:szCs w:val="19"/>
              </w:rPr>
              <w:t xml:space="preserve">Stronger alloys; reduced grain boundary scattering</w:t>
            </w:r>
          </w:p>
        </w:tc>
      </w:tr>
      <w:tr>
        <w:tc>
          <w:tcPr>
            <w:tcW w:type="dxa" w:w="132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111111"/>
                <w:sz w:val="19"/>
                <w:szCs w:val="19"/>
              </w:rPr>
              <w:t xml:space="preserve">Topological memory</w:t>
            </w:r>
          </w:p>
        </w:tc>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111111"/>
                <w:sz w:val="19"/>
                <w:szCs w:val="19"/>
              </w:rPr>
              <w:t xml:space="preserve">Skyrmion helicity pinning dark-sector bit</w:t>
            </w:r>
          </w:p>
        </w:tc>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111111"/>
                <w:sz w:val="19"/>
                <w:szCs w:val="19"/>
              </w:rPr>
              <w:t xml:space="preserve">Room-T stable localised oscillation</w:t>
            </w:r>
          </w:p>
        </w:tc>
        <w:tc>
          <w:tcPr>
            <w:tcW w:type="dxa" w:w="224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111111"/>
                <w:sz w:val="19"/>
                <w:szCs w:val="19"/>
              </w:rPr>
              <w:t xml:space="preserve">Non-volatile, topologically protected memory</w:t>
            </w:r>
          </w:p>
        </w:tc>
      </w:tr>
    </w:tbl>
    <w:p>
      <w:pPr>
        <w:spacing w:before="0" w:after="160" w:line="276" w:lineRule="auto"/>
        <w:ind/>
        <w:jc w:val="center"/>
      </w:pPr>
      <w:r>
        <w:rPr>
          <w:rFonts w:ascii="Times New Roman" w:cs="Times New Roman" w:eastAsia="Times New Roman" w:hAnsi="Times New Roman"/>
          <w:b w:val="false"/>
          <w:bCs w:val="false"/>
          <w:i/>
          <w:iCs/>
          <w:color w:val="4B5563"/>
          <w:sz w:val="20"/>
          <w:szCs w:val="20"/>
        </w:rPr>
        <w:t xml:space="preserve">Table 1. Complete engineering map from CCDR mechanism to observable benefit across all three technology domains.</w:t>
      </w:r>
    </w:p>
    <w:p>
      <w:pPr>
        <w:spacing w:before="80" w:after="0"/>
      </w:pPr>
    </w:p>
    <w:p>
      <w:pPr>
        <w:pBdr>
          <w:bottom w:val="single" w:color="CBD5E1" w:sz="6" w:space="1"/>
        </w:pBdr>
        <w:spacing w:before="160" w:after="160"/>
      </w:pPr>
    </w:p>
    <w:p>
      <w:pPr>
        <w:shd w:fill="7C3AED" w:val="clear"/>
        <w:spacing w:before="320" w:after="200"/>
      </w:pPr>
      <w:r>
        <w:rPr>
          <w:rFonts w:ascii="Arial" w:cs="Arial" w:eastAsia="Arial" w:hAnsi="Arial"/>
          <w:b/>
          <w:bCs/>
          <w:caps/>
          <w:color w:val="FFFFFF"/>
          <w:spacing w:val="80"/>
          <w:sz w:val="28"/>
          <w:szCs w:val="28"/>
        </w:rPr>
        <w:t xml:space="preserve">  I. Fusion Reactor Design  </w:t>
      </w:r>
    </w:p>
    <w:p>
      <w:pPr>
        <w:spacing w:before="320" w:after="120"/>
      </w:pPr>
      <w:r>
        <w:rPr>
          <w:rFonts w:ascii="Arial" w:cs="Arial" w:eastAsia="Arial" w:hAnsi="Arial"/>
          <w:b/>
          <w:bCs/>
          <w:caps w:val="false"/>
          <w:color w:val="7C3AED"/>
          <w:sz w:val="28"/>
          <w:szCs w:val="28"/>
        </w:rPr>
        <w:t xml:space="preserve">Theoretical Foundation</w:t>
      </w:r>
    </w:p>
    <w:p>
      <w:pPr>
        <w:spacing w:before="0" w:after="160" w:line="276" w:lineRule="auto"/>
        <w:ind w:firstLine="400"/>
        <w:jc w:val="both"/>
      </w:pPr>
      <w:r>
        <w:rPr>
          <w:rFonts w:ascii="Times New Roman" w:cs="Times New Roman" w:eastAsia="Times New Roman" w:hAnsi="Times New Roman"/>
          <w:b w:val="false"/>
          <w:bCs w:val="false"/>
          <w:i w:val="false"/>
          <w:iCs w:val="false"/>
          <w:color w:val="111111"/>
          <w:sz w:val="24"/>
          <w:szCs w:val="24"/>
        </w:rPr>
        <w:t xml:space="preserve">The key CCDR insight for fusion is the Kovtun-Son-Starinets (KSS) bound — the universal minimum viscosity of any system near a dimensional phase boundary:</w:t>
      </w:r>
    </w:p>
    <w:p>
      <w:pPr>
        <w:spacing w:before="100" w:after="100"/>
        <w:jc w:val="center"/>
      </w:pPr>
      <w:r>
        <w:rPr>
          <w:rFonts w:ascii="Courier New" w:cs="Courier New" w:eastAsia="Courier New" w:hAnsi="Courier New"/>
          <w:color w:val="0D1B40"/>
          <w:sz w:val="22"/>
          <w:szCs w:val="22"/>
        </w:rPr>
        <w:t xml:space="preserve">eta/s = hbar / 4*pi*kB   ~   6.08 x 10^-13 Pa*s*m^3/J   (KSS bound)</w:t>
      </w:r>
    </w:p>
    <w:p>
      <w:pPr>
        <w:spacing w:before="0" w:after="160" w:line="276" w:lineRule="auto"/>
        <w:ind w:firstLine="400"/>
        <w:jc w:val="both"/>
      </w:pPr>
      <w:r>
        <w:rPr>
          <w:rFonts w:ascii="Times New Roman" w:cs="Times New Roman" w:eastAsia="Times New Roman" w:hAnsi="Times New Roman"/>
          <w:b w:val="false"/>
          <w:bCs w:val="false"/>
          <w:i w:val="false"/>
          <w:iCs w:val="false"/>
          <w:color w:val="111111"/>
          <w:sz w:val="24"/>
          <w:szCs w:val="24"/>
        </w:rPr>
        <w:t xml:space="preserve">This bound is saturated by the quark-gluon plasma (QGP) at RHIC/LHC. In CCDR this is because the QGP is a partial dimensional reduction — a system at the holographic limit for nuclear-density matter — and the KSS value is the universal viscosity of any dimensional phase boundary regardless of scale. Fusion plasma is not at nuclear density, but the same hierarchy applies: the closer the plasma is to the KSS bound, the more it behaves as a near-perfect fluid with minimum turbulent transport.</w:t>
      </w:r>
    </w:p>
    <w:p>
      <w:pPr>
        <w:spacing w:before="0" w:after="160" w:line="276" w:lineRule="auto"/>
        <w:ind w:firstLine="400"/>
        <w:jc w:val="both"/>
      </w:pPr>
      <w:r>
        <w:rPr>
          <w:rFonts w:ascii="Times New Roman" w:cs="Times New Roman" w:eastAsia="Times New Roman" w:hAnsi="Times New Roman"/>
          <w:b w:val="false"/>
          <w:bCs w:val="false"/>
          <w:i w:val="false"/>
          <w:iCs w:val="false"/>
          <w:color w:val="111111"/>
          <w:sz w:val="24"/>
          <w:szCs w:val="24"/>
        </w:rPr>
        <w:t xml:space="preserve">Current tokamak edge viscosity is approximately 10⁻⁶ Pa·s — six orders of magnitude above the KSS bound. Closing this gap is the engineering target that CCDR makes explicit for the first time.</w:t>
      </w:r>
    </w:p>
    <w:p>
      <w:pPr>
        <w:spacing w:before="320" w:after="120"/>
      </w:pPr>
      <w:r>
        <w:rPr>
          <w:rFonts w:ascii="Arial" w:cs="Arial" w:eastAsia="Arial" w:hAnsi="Arial"/>
          <w:b/>
          <w:bCs/>
          <w:caps w:val="false"/>
          <w:color w:val="7C3AED"/>
          <w:sz w:val="28"/>
          <w:szCs w:val="28"/>
        </w:rPr>
        <w:t xml:space="preserve">Application 1.1 — Phonon Mode Engineering for Confinement Geometry</w:t>
      </w:r>
    </w:p>
    <w:p>
      <w:pPr>
        <w:spacing w:before="0" w:after="160" w:line="276" w:lineRule="auto"/>
        <w:ind w:firstLine="400"/>
        <w:jc w:val="both"/>
      </w:pPr>
      <w:r>
        <w:rPr>
          <w:rFonts w:ascii="Times New Roman" w:cs="Times New Roman" w:eastAsia="Times New Roman" w:hAnsi="Times New Roman"/>
          <w:b w:val="false"/>
          <w:bCs w:val="false"/>
          <w:i w:val="false"/>
          <w:iCs w:val="false"/>
          <w:color w:val="111111"/>
          <w:sz w:val="24"/>
          <w:szCs w:val="24"/>
        </w:rPr>
        <w:t xml:space="preserve">In CCDR, fusion plasma is an acoustic phonon system of the cosmological crystal. Drift-wave turbulence, Kelvin-Helmholtz instability, and Rayleigh-Taylor modes are acoustic phonon intermode mixing events — energy leaking from controlled plasma eigenmodes into the uncontrolled background phonon bath.</w:t>
      </w:r>
    </w:p>
    <w:p>
      <w:pPr>
        <w:spacing w:before="0" w:after="160" w:line="276" w:lineRule="auto"/>
        <w:ind w:firstLine="400"/>
        <w:jc w:val="both"/>
      </w:pPr>
      <w:r>
        <w:rPr>
          <w:rFonts w:ascii="Times New Roman" w:cs="Times New Roman" w:eastAsia="Times New Roman" w:hAnsi="Times New Roman"/>
          <w:b w:val="false"/>
          <w:bCs w:val="false"/>
          <w:i w:val="false"/>
          <w:iCs w:val="false"/>
          <w:color w:val="111111"/>
          <w:sz w:val="24"/>
          <w:szCs w:val="24"/>
        </w:rPr>
        <w:t xml:space="preserve">Engineering implication: tokamak wall structures and magnetic field configurations should impose a spatial periodicity commensurate with the dominant plasma instability wavelengths. This is the principle of a phononic crystal applied to plasma confinement — engineering the phonon dispersion relation to create a bandgap at instability frequencies. A magnetic field configuration with periodic modulation at the drift-wave wavelength creates an effective phononic bandgap that suppresses the dominant turbulent mode.</w:t>
      </w:r>
    </w:p>
    <w:p>
      <w:pPr>
        <w:spacing w:before="240" w:after="80"/>
      </w:pPr>
      <w:r>
        <w:rPr>
          <w:rFonts w:ascii="Arial" w:cs="Arial" w:eastAsia="Arial" w:hAnsi="Arial"/>
          <w:b/>
          <w:bCs/>
          <w:i/>
          <w:iCs/>
          <w:color w:val="7C3AED"/>
          <w:sz w:val="23"/>
          <w:szCs w:val="23"/>
        </w:rPr>
        <w:t xml:space="preserve">Design protocol:</w:t>
      </w:r>
    </w:p>
    <w:p>
      <w:pPr>
        <w:pStyle w:val="ListParagraph"/>
        <w:numPr>
          <w:ilvl w:val="0"/>
          <w:numId w:val="2"/>
        </w:numPr>
        <w:spacing w:before="0" w:after="100"/>
      </w:pPr>
      <w:r>
        <w:rPr>
          <w:rFonts w:ascii="Times New Roman" w:cs="Times New Roman" w:eastAsia="Times New Roman" w:hAnsi="Times New Roman"/>
          <w:color w:val="111111"/>
          <w:sz w:val="24"/>
          <w:szCs w:val="24"/>
        </w:rPr>
        <w:t xml:space="preserve">Measure the dominant instability wavelength lambda_inst in the plasma edge using reflectometry or phase contrast imaging.</w:t>
      </w:r>
    </w:p>
    <w:p>
      <w:pPr>
        <w:pStyle w:val="ListParagraph"/>
        <w:numPr>
          <w:ilvl w:val="0"/>
          <w:numId w:val="2"/>
        </w:numPr>
        <w:spacing w:before="0" w:after="100"/>
      </w:pPr>
      <w:r>
        <w:rPr>
          <w:rFonts w:ascii="Times New Roman" w:cs="Times New Roman" w:eastAsia="Times New Roman" w:hAnsi="Times New Roman"/>
          <w:color w:val="111111"/>
          <w:sz w:val="24"/>
          <w:szCs w:val="24"/>
        </w:rPr>
        <w:t xml:space="preserve">Design periodic wall tile structures or magnetic perturbation coils with period commensurate with lambda_inst.</w:t>
      </w:r>
    </w:p>
    <w:p>
      <w:pPr>
        <w:pStyle w:val="ListParagraph"/>
        <w:numPr>
          <w:ilvl w:val="0"/>
          <w:numId w:val="2"/>
        </w:numPr>
        <w:spacing w:before="0" w:after="100"/>
      </w:pPr>
      <w:r>
        <w:rPr>
          <w:rFonts w:ascii="Times New Roman" w:cs="Times New Roman" w:eastAsia="Times New Roman" w:hAnsi="Times New Roman"/>
          <w:color w:val="111111"/>
          <w:sz w:val="24"/>
          <w:szCs w:val="24"/>
        </w:rPr>
        <w:t xml:space="preserve">The phononic bandgap condition: k_modulation = pi/lambda_inst (first Brillouin zone boundary at the instability wavevector).</w:t>
      </w:r>
    </w:p>
    <w:p>
      <w:pPr>
        <w:pStyle w:val="ListParagraph"/>
        <w:numPr>
          <w:ilvl w:val="0"/>
          <w:numId w:val="2"/>
        </w:numPr>
        <w:spacing w:before="0" w:after="100"/>
      </w:pPr>
      <w:r>
        <w:rPr>
          <w:rFonts w:ascii="Times New Roman" w:cs="Times New Roman" w:eastAsia="Times New Roman" w:hAnsi="Times New Roman"/>
          <w:color w:val="111111"/>
          <w:sz w:val="24"/>
          <w:szCs w:val="24"/>
        </w:rPr>
        <w:t xml:space="preserve">Validate by measuring reduction in turbulent power spectrum at the target wavelength.</w:t>
      </w:r>
    </w:p>
    <w:p>
      <w:pPr>
        <w:spacing w:before="80" w:after="0"/>
      </w:pP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560"/>
      </w:tblGrid>
      <w:tr>
        <w:tc>
          <w:tcPr>
            <w:tcW w:type="dxa" w:w="2000"/>
            <w:tcBorders>
              <w:top w:val="single" w:color="7C3AED" w:sz="4"/>
              <w:left w:val="single" w:color="7C3AED" w:sz="4"/>
              <w:bottom w:val="single" w:color="7C3AED" w:sz="4"/>
              <w:right w:val="single" w:color="7C3AED" w:sz="4"/>
            </w:tcBorders>
            <w:shd w:fill="DBEAFE" w:val="clear"/>
            <w:tcMar>
              <w:top w:type="dxa" w:w="80"/>
              <w:left w:type="dxa" w:w="120"/>
              <w:bottom w:type="dxa" w:w="80"/>
              <w:right w:type="dxa" w:w="120"/>
            </w:tcMar>
          </w:tcPr>
          <w:p>
            <w:r>
              <w:rPr>
                <w:rFonts w:ascii="Arial" w:cs="Arial" w:eastAsia="Arial" w:hAnsi="Arial"/>
                <w:b/>
                <w:bCs/>
                <w:color w:val="0D1B40"/>
                <w:sz w:val="19"/>
                <w:szCs w:val="19"/>
              </w:rPr>
              <w:t xml:space="preserve">Instability Type</w:t>
            </w:r>
          </w:p>
        </w:tc>
        <w:tc>
          <w:tcPr>
            <w:tcW w:type="dxa" w:w="2600"/>
            <w:tcBorders>
              <w:top w:val="single" w:color="7C3AED" w:sz="4"/>
              <w:left w:val="single" w:color="7C3AED" w:sz="4"/>
              <w:bottom w:val="single" w:color="7C3AED" w:sz="4"/>
              <w:right w:val="single" w:color="7C3AED" w:sz="4"/>
            </w:tcBorders>
            <w:shd w:fill="DBEAFE" w:val="clear"/>
            <w:tcMar>
              <w:top w:type="dxa" w:w="80"/>
              <w:left w:type="dxa" w:w="120"/>
              <w:bottom w:type="dxa" w:w="80"/>
              <w:right w:type="dxa" w:w="120"/>
            </w:tcMar>
          </w:tcPr>
          <w:p>
            <w:r>
              <w:rPr>
                <w:rFonts w:ascii="Arial" w:cs="Arial" w:eastAsia="Arial" w:hAnsi="Arial"/>
                <w:b/>
                <w:bCs/>
                <w:color w:val="0D1B40"/>
                <w:sz w:val="19"/>
                <w:szCs w:val="19"/>
              </w:rPr>
              <w:t xml:space="preserve">CCDR Identification</w:t>
            </w:r>
          </w:p>
        </w:tc>
        <w:tc>
          <w:tcPr>
            <w:tcW w:type="dxa" w:w="4560"/>
            <w:tcBorders>
              <w:top w:val="single" w:color="7C3AED" w:sz="4"/>
              <w:left w:val="single" w:color="7C3AED" w:sz="4"/>
              <w:bottom w:val="single" w:color="7C3AED" w:sz="4"/>
              <w:right w:val="single" w:color="7C3AED" w:sz="4"/>
            </w:tcBorders>
            <w:shd w:fill="DBEAFE" w:val="clear"/>
            <w:tcMar>
              <w:top w:type="dxa" w:w="80"/>
              <w:left w:type="dxa" w:w="120"/>
              <w:bottom w:type="dxa" w:w="80"/>
              <w:right w:type="dxa" w:w="120"/>
            </w:tcMar>
          </w:tcPr>
          <w:p>
            <w:r>
              <w:rPr>
                <w:rFonts w:ascii="Arial" w:cs="Arial" w:eastAsia="Arial" w:hAnsi="Arial"/>
                <w:b/>
                <w:bCs/>
                <w:color w:val="0D1B40"/>
                <w:sz w:val="19"/>
                <w:szCs w:val="19"/>
              </w:rPr>
              <w:t xml:space="preserve">Suppression Strategy</w:t>
            </w:r>
          </w:p>
        </w:tc>
      </w:tr>
      <w:tr>
        <w:tc>
          <w:tcPr>
            <w:tcW w:type="dxa" w:w="2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color w:val="111111"/>
                <w:sz w:val="19"/>
                <w:szCs w:val="19"/>
              </w:rPr>
              <w:t xml:space="preserve">Drift-wave turbulence</w:t>
            </w:r>
          </w:p>
        </w:tc>
        <w:tc>
          <w:tcPr>
            <w:tcW w:type="dxa" w:w="26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color w:val="111111"/>
                <w:sz w:val="19"/>
                <w:szCs w:val="19"/>
              </w:rPr>
              <w:t xml:space="preserve">Acoustic phonon intermode mixing</w:t>
            </w:r>
          </w:p>
        </w:tc>
        <w:tc>
          <w:tcPr>
            <w:tcW w:type="dxa" w:w="4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color w:val="111111"/>
                <w:sz w:val="19"/>
                <w:szCs w:val="19"/>
              </w:rPr>
              <w:t xml:space="preserve">Periodic wall modulation at instability wavelength</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111111"/>
                <w:sz w:val="19"/>
                <w:szCs w:val="19"/>
              </w:rPr>
              <w:t xml:space="preserve">Edge-Localised Modes</w:t>
            </w:r>
          </w:p>
        </w:tc>
        <w:tc>
          <w:tcPr>
            <w:tcW w:type="dxa" w:w="2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111111"/>
                <w:sz w:val="19"/>
                <w:szCs w:val="19"/>
              </w:rPr>
              <w:t xml:space="preserve">Optical phonon mode pinned at separatrix</w:t>
            </w:r>
          </w:p>
        </w:tc>
        <w:tc>
          <w:tcPr>
            <w:tcW w:type="dxa" w:w="4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111111"/>
                <w:sz w:val="19"/>
                <w:szCs w:val="19"/>
              </w:rPr>
              <w:t xml:space="preserve">Reduce H_mag via resonant magnetic perturbations</w:t>
            </w:r>
          </w:p>
        </w:tc>
      </w:tr>
      <w:tr>
        <w:tc>
          <w:tcPr>
            <w:tcW w:type="dxa" w:w="2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color w:val="111111"/>
                <w:sz w:val="19"/>
                <w:szCs w:val="19"/>
              </w:rPr>
              <w:t xml:space="preserve">Rayleigh-Taylor</w:t>
            </w:r>
          </w:p>
        </w:tc>
        <w:tc>
          <w:tcPr>
            <w:tcW w:type="dxa" w:w="26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color w:val="111111"/>
                <w:sz w:val="19"/>
                <w:szCs w:val="19"/>
              </w:rPr>
              <w:t xml:space="preserve">Acoustic mode mixing at density interface</w:t>
            </w:r>
          </w:p>
        </w:tc>
        <w:tc>
          <w:tcPr>
            <w:tcW w:type="dxa" w:w="4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color w:val="111111"/>
                <w:sz w:val="19"/>
                <w:szCs w:val="19"/>
              </w:rPr>
              <w:t xml:space="preserve">Engineer phonon dispersion across density gradient</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111111"/>
                <w:sz w:val="19"/>
                <w:szCs w:val="19"/>
              </w:rPr>
              <w:t xml:space="preserve">MHD kink modes</w:t>
            </w:r>
          </w:p>
        </w:tc>
        <w:tc>
          <w:tcPr>
            <w:tcW w:type="dxa" w:w="2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111111"/>
                <w:sz w:val="19"/>
                <w:szCs w:val="19"/>
              </w:rPr>
              <w:t xml:space="preserve">Long-wavelength acoustic phonon modes</w:t>
            </w:r>
          </w:p>
        </w:tc>
        <w:tc>
          <w:tcPr>
            <w:tcW w:type="dxa" w:w="4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111111"/>
                <w:sz w:val="19"/>
                <w:szCs w:val="19"/>
              </w:rPr>
              <w:t xml:space="preserve">Phononic bandgap in magnetic field periodicity</w:t>
            </w:r>
          </w:p>
        </w:tc>
      </w:tr>
    </w:tbl>
    <w:p>
      <w:pPr>
        <w:spacing w:before="0" w:after="160" w:line="276" w:lineRule="auto"/>
        <w:ind/>
        <w:jc w:val="center"/>
      </w:pPr>
      <w:r>
        <w:rPr>
          <w:rFonts w:ascii="Times New Roman" w:cs="Times New Roman" w:eastAsia="Times New Roman" w:hAnsi="Times New Roman"/>
          <w:b w:val="false"/>
          <w:bCs w:val="false"/>
          <w:i/>
          <w:iCs/>
          <w:color w:val="4B5563"/>
          <w:sz w:val="20"/>
          <w:szCs w:val="20"/>
        </w:rPr>
        <w:t xml:space="preserve">Table 2. CCDR identification and suppression strategy for major fusion plasma instabilities.</w:t>
      </w:r>
    </w:p>
    <w:p>
      <w:pPr>
        <w:spacing w:before="80" w:after="0"/>
      </w:pPr>
    </w:p>
    <w:p>
      <w:pPr>
        <w:spacing w:before="320" w:after="120"/>
      </w:pPr>
      <w:r>
        <w:rPr>
          <w:rFonts w:ascii="Arial" w:cs="Arial" w:eastAsia="Arial" w:hAnsi="Arial"/>
          <w:b/>
          <w:bCs/>
          <w:caps w:val="false"/>
          <w:color w:val="7C3AED"/>
          <w:sz w:val="28"/>
          <w:szCs w:val="28"/>
        </w:rPr>
        <w:t xml:space="preserve">Application 1.2 — KSS Bound as Quantitative Confinement Target</w:t>
      </w:r>
    </w:p>
    <w:p>
      <w:pPr>
        <w:spacing w:before="0" w:after="160" w:line="276" w:lineRule="auto"/>
        <w:ind w:firstLine="400"/>
        <w:jc w:val="both"/>
      </w:pPr>
      <w:r>
        <w:rPr>
          <w:rFonts w:ascii="Times New Roman" w:cs="Times New Roman" w:eastAsia="Times New Roman" w:hAnsi="Times New Roman"/>
          <w:b w:val="false"/>
          <w:bCs w:val="false"/>
          <w:i w:val="false"/>
          <w:iCs w:val="false"/>
          <w:color w:val="111111"/>
          <w:sz w:val="24"/>
          <w:szCs w:val="24"/>
        </w:rPr>
        <w:t xml:space="preserve">The KSS bound provides the first theoretically grounded minimum for plasma transport coefficients. For a plasma at fusion-relevant density n ~ 10²⁰ m⁻³, the KSS viscosity target is:</w:t>
      </w:r>
    </w:p>
    <w:p>
      <w:pPr>
        <w:spacing w:before="100" w:after="100"/>
        <w:jc w:val="center"/>
      </w:pPr>
      <w:r>
        <w:rPr>
          <w:rFonts w:ascii="Courier New" w:cs="Courier New" w:eastAsia="Courier New" w:hAnsi="Courier New"/>
          <w:color w:val="0D1B40"/>
          <w:sz w:val="22"/>
          <w:szCs w:val="22"/>
        </w:rPr>
        <w:t xml:space="preserve">eta_KSS = (hbar/4*pi) x n*kB ~ 10^-12 Pa*s</w:t>
      </w:r>
    </w:p>
    <w:p>
      <w:pPr>
        <w:spacing w:before="0" w:after="160" w:line="276" w:lineRule="auto"/>
        <w:ind w:firstLine="400"/>
        <w:jc w:val="both"/>
      </w:pPr>
      <w:r>
        <w:rPr>
          <w:rFonts w:ascii="Times New Roman" w:cs="Times New Roman" w:eastAsia="Times New Roman" w:hAnsi="Times New Roman"/>
          <w:b w:val="false"/>
          <w:bCs w:val="false"/>
          <w:i w:val="false"/>
          <w:iCs w:val="false"/>
          <w:color w:val="111111"/>
          <w:sz w:val="24"/>
          <w:szCs w:val="24"/>
        </w:rPr>
        <w:t xml:space="preserve">This is the theoretical minimum achievable viscosity for any plasma of this density. Current tokamak edge viscosities are approximately 10⁻⁶ Pa·s; core viscosities are lower but still above the KSS bound. The ratio eta_measured/eta_KSS is a dimensionless figure of merit for confinement quality — call it the KSS margin M_KSS. ITER aims for M_KSS ~ 10³; a perfect-fluid plasma would have M_KSS = 1.</w:t>
      </w:r>
    </w:p>
    <w:p>
      <w:pPr>
        <w:spacing w:before="0" w:after="160" w:line="276" w:lineRule="auto"/>
        <w:ind w:firstLine="400"/>
        <w:jc w:val="both"/>
      </w:pPr>
      <w:r>
        <w:rPr>
          <w:rFonts w:ascii="Times New Roman" w:cs="Times New Roman" w:eastAsia="Times New Roman" w:hAnsi="Times New Roman"/>
          <w:b w:val="false"/>
          <w:bCs w:val="false"/>
          <w:i w:val="false"/>
          <w:iCs w:val="false"/>
          <w:color w:val="111111"/>
          <w:sz w:val="24"/>
          <w:szCs w:val="24"/>
        </w:rPr>
        <w:t xml:space="preserve">Every plasma heating, shaping, and fuelling decision should be evaluated against its effect on M_KSS. Measurements of eta/s in fusion plasmas should be reported as multiples of the KSS bound to enable direct comparison with QGP results and to track progress toward the theoretical minimum.</w:t>
      </w:r>
    </w:p>
    <w:p>
      <w:pPr>
        <w:spacing w:before="320" w:after="120"/>
      </w:pPr>
      <w:r>
        <w:rPr>
          <w:rFonts w:ascii="Arial" w:cs="Arial" w:eastAsia="Arial" w:hAnsi="Arial"/>
          <w:b/>
          <w:bCs/>
          <w:caps w:val="false"/>
          <w:color w:val="7C3AED"/>
          <w:sz w:val="28"/>
          <w:szCs w:val="28"/>
        </w:rPr>
        <w:t xml:space="preserve">Application 1.3 — ELM Suppression via Magnetic Helicity Control</w:t>
      </w:r>
    </w:p>
    <w:p>
      <w:pPr>
        <w:spacing w:before="0" w:after="160" w:line="276" w:lineRule="auto"/>
        <w:ind w:firstLine="400"/>
        <w:jc w:val="both"/>
      </w:pPr>
      <w:r>
        <w:rPr>
          <w:rFonts w:ascii="Times New Roman" w:cs="Times New Roman" w:eastAsia="Times New Roman" w:hAnsi="Times New Roman"/>
          <w:b w:val="false"/>
          <w:bCs w:val="false"/>
          <w:i w:val="false"/>
          <w:iCs w:val="false"/>
          <w:color w:val="111111"/>
          <w:sz w:val="24"/>
          <w:szCs w:val="24"/>
        </w:rPr>
        <w:t xml:space="preserve">Edge-localised modes (ELMs) in tokamaks are, in CCDR language, optical phonon modes briefly pinned at the topological structure of the magnetic separatrix — direct analogues of ball lightning. The CCDR prediction is that ELM nucleation requires a non-zero magnetic helicity at the separatrix:</w:t>
      </w:r>
    </w:p>
    <w:p>
      <w:pPr>
        <w:spacing w:before="100" w:after="100"/>
        <w:jc w:val="center"/>
      </w:pPr>
      <w:r>
        <w:rPr>
          <w:rFonts w:ascii="Courier New" w:cs="Courier New" w:eastAsia="Courier New" w:hAnsi="Courier New"/>
          <w:color w:val="0D1B40"/>
          <w:sz w:val="22"/>
          <w:szCs w:val="22"/>
        </w:rPr>
        <w:t xml:space="preserve">H_mag = integral A . B d^3x =/= 0   (ELM nucleation condition)</w:t>
      </w:r>
    </w:p>
    <w:p>
      <w:pPr>
        <w:spacing w:before="0" w:after="160" w:line="276" w:lineRule="auto"/>
        <w:ind w:firstLine="400"/>
        <w:jc w:val="both"/>
      </w:pPr>
      <w:r>
        <w:rPr>
          <w:rFonts w:ascii="Times New Roman" w:cs="Times New Roman" w:eastAsia="Times New Roman" w:hAnsi="Times New Roman"/>
          <w:b w:val="false"/>
          <w:bCs w:val="false"/>
          <w:i w:val="false"/>
          <w:iCs w:val="false"/>
          <w:color w:val="111111"/>
          <w:sz w:val="24"/>
          <w:szCs w:val="24"/>
        </w:rPr>
        <w:t xml:space="preserve">Resonant magnetic perturbations (RMPs), already used experimentally for ELM suppression in JET, DIII-D, and ITER-grade devices, work by modifying the magnetic field topology at the separatrix. The CCDR framework identifies the operative mechanism: helicity reduction. This provides a quantitative optimisation target for RMP coil design.</w:t>
      </w:r>
    </w:p>
    <w:p>
      <w:pPr>
        <w:spacing w:before="240" w:after="80"/>
      </w:pPr>
      <w:r>
        <w:rPr>
          <w:rFonts w:ascii="Arial" w:cs="Arial" w:eastAsia="Arial" w:hAnsi="Arial"/>
          <w:b/>
          <w:bCs/>
          <w:i/>
          <w:iCs/>
          <w:color w:val="7C3AED"/>
          <w:sz w:val="23"/>
          <w:szCs w:val="23"/>
        </w:rPr>
        <w:t xml:space="preserve">RMP optimisation protocol:</w:t>
      </w:r>
    </w:p>
    <w:p>
      <w:pPr>
        <w:pStyle w:val="ListParagraph"/>
        <w:numPr>
          <w:ilvl w:val="0"/>
          <w:numId w:val="2"/>
        </w:numPr>
        <w:spacing w:before="0" w:after="100"/>
      </w:pPr>
      <w:r>
        <w:rPr>
          <w:rFonts w:ascii="Times New Roman" w:cs="Times New Roman" w:eastAsia="Times New Roman" w:hAnsi="Times New Roman"/>
          <w:color w:val="111111"/>
          <w:sz w:val="24"/>
          <w:szCs w:val="24"/>
        </w:rPr>
        <w:t xml:space="preserve">Compute H_mag = integral(A.B d^3x) in the separatrix layer as a function of RMP coil current and geometry.</w:t>
      </w:r>
    </w:p>
    <w:p>
      <w:pPr>
        <w:pStyle w:val="ListParagraph"/>
        <w:numPr>
          <w:ilvl w:val="0"/>
          <w:numId w:val="2"/>
        </w:numPr>
        <w:spacing w:before="0" w:after="100"/>
      </w:pPr>
      <w:r>
        <w:rPr>
          <w:rFonts w:ascii="Times New Roman" w:cs="Times New Roman" w:eastAsia="Times New Roman" w:hAnsi="Times New Roman"/>
          <w:color w:val="111111"/>
          <w:sz w:val="24"/>
          <w:szCs w:val="24"/>
        </w:rPr>
        <w:t xml:space="preserve">Optimise coil configuration to minimise |H_mag| in the separatrix, subject to constraints on edge-localised pressure gradients.</w:t>
      </w:r>
    </w:p>
    <w:p>
      <w:pPr>
        <w:pStyle w:val="ListParagraph"/>
        <w:numPr>
          <w:ilvl w:val="0"/>
          <w:numId w:val="2"/>
        </w:numPr>
        <w:spacing w:before="0" w:after="100"/>
      </w:pPr>
      <w:r>
        <w:rPr>
          <w:rFonts w:ascii="Times New Roman" w:cs="Times New Roman" w:eastAsia="Times New Roman" w:hAnsi="Times New Roman"/>
          <w:color w:val="111111"/>
          <w:sz w:val="24"/>
          <w:szCs w:val="24"/>
        </w:rPr>
        <w:t xml:space="preserve">The theoretical ELM-free condition is H_mag -&gt; 0 in the separatrix; in practice a reduction by a factor of 10-100 should dramatically reduce ELM frequency.</w:t>
      </w:r>
    </w:p>
    <w:p>
      <w:pPr>
        <w:pStyle w:val="ListParagraph"/>
        <w:numPr>
          <w:ilvl w:val="0"/>
          <w:numId w:val="2"/>
        </w:numPr>
        <w:spacing w:before="0" w:after="100"/>
      </w:pPr>
      <w:r>
        <w:rPr>
          <w:rFonts w:ascii="Times New Roman" w:cs="Times New Roman" w:eastAsia="Times New Roman" w:hAnsi="Times New Roman"/>
          <w:color w:val="111111"/>
          <w:sz w:val="24"/>
          <w:szCs w:val="24"/>
        </w:rPr>
        <w:t xml:space="preserve">Monitor experimental ELM frequency as a function of computed H_mag to validate the CCDR mechanism.</w:t>
      </w:r>
    </w:p>
    <w:p>
      <w:pPr>
        <w:spacing w:before="0" w:after="160" w:line="276" w:lineRule="auto"/>
        <w:ind w:firstLine="400"/>
        <w:jc w:val="both"/>
      </w:pPr>
      <w:r>
        <w:rPr>
          <w:rFonts w:ascii="Times New Roman" w:cs="Times New Roman" w:eastAsia="Times New Roman" w:hAnsi="Times New Roman"/>
          <w:b w:val="false"/>
          <w:bCs w:val="false"/>
          <w:i w:val="false"/>
          <w:iCs w:val="false"/>
          <w:color w:val="111111"/>
          <w:sz w:val="24"/>
          <w:szCs w:val="24"/>
        </w:rPr>
        <w:t xml:space="preserve">This is distinct from current RMP optimisation (which targets q-profile resonances) and may provide additional degrees of freedom for ELM suppression without degrading confinement.</w:t>
      </w:r>
    </w:p>
    <w:p>
      <w:pPr>
        <w:pBdr>
          <w:bottom w:val="single" w:color="CBD5E1" w:sz="6" w:space="1"/>
        </w:pBdr>
        <w:spacing w:before="160" w:after="160"/>
      </w:pPr>
    </w:p>
    <w:p>
      <w:pPr>
        <w:shd w:fill="0891B2" w:val="clear"/>
        <w:spacing w:before="320" w:after="200"/>
      </w:pPr>
      <w:r>
        <w:rPr>
          <w:rFonts w:ascii="Arial" w:cs="Arial" w:eastAsia="Arial" w:hAnsi="Arial"/>
          <w:b/>
          <w:bCs/>
          <w:caps/>
          <w:color w:val="FFFFFF"/>
          <w:spacing w:val="80"/>
          <w:sz w:val="28"/>
          <w:szCs w:val="28"/>
        </w:rPr>
        <w:t xml:space="preserve">  II. Quantum Computers  </w:t>
      </w:r>
    </w:p>
    <w:p>
      <w:pPr>
        <w:spacing w:before="320" w:after="120"/>
      </w:pPr>
      <w:r>
        <w:rPr>
          <w:rFonts w:ascii="Arial" w:cs="Arial" w:eastAsia="Arial" w:hAnsi="Arial"/>
          <w:b/>
          <w:bCs/>
          <w:caps w:val="false"/>
          <w:color w:val="0891B2"/>
          <w:sz w:val="28"/>
          <w:szCs w:val="28"/>
        </w:rPr>
        <w:t xml:space="preserve">Theoretical Foundation</w:t>
      </w:r>
    </w:p>
    <w:p>
      <w:pPr>
        <w:spacing w:before="0" w:after="160" w:line="276" w:lineRule="auto"/>
        <w:ind w:firstLine="400"/>
        <w:jc w:val="both"/>
      </w:pPr>
      <w:r>
        <w:rPr>
          <w:rFonts w:ascii="Times New Roman" w:cs="Times New Roman" w:eastAsia="Times New Roman" w:hAnsi="Times New Roman"/>
          <w:b w:val="false"/>
          <w:bCs w:val="false"/>
          <w:i w:val="false"/>
          <w:iCs w:val="false"/>
          <w:color w:val="111111"/>
          <w:sz w:val="24"/>
          <w:szCs w:val="24"/>
        </w:rPr>
        <w:t xml:space="preserve">In CCDR, quantum mechanics is the statistical description available to 3+1D observers of deterministic N-dimensional crystal dynamics. Decoherence is acoustic phonon mode leakage: a qubit is a controlled acoustic phonon mode; decoherence is the uncontrolled coupling of that mode into the background acoustic phonon thermal bath of the substrate.</w:t>
      </w:r>
    </w:p>
    <w:p>
      <w:pPr>
        <w:spacing w:before="0" w:after="160" w:line="276" w:lineRule="auto"/>
        <w:ind w:firstLine="400"/>
        <w:jc w:val="both"/>
      </w:pPr>
      <w:r>
        <w:rPr>
          <w:rFonts w:ascii="Times New Roman" w:cs="Times New Roman" w:eastAsia="Times New Roman" w:hAnsi="Times New Roman"/>
          <w:b w:val="false"/>
          <w:bCs w:val="false"/>
          <w:i w:val="false"/>
          <w:iCs w:val="false"/>
          <w:color w:val="111111"/>
          <w:sz w:val="24"/>
          <w:szCs w:val="24"/>
        </w:rPr>
        <w:t xml:space="preserve">This reframing makes the engineering target precise. There are three distinct decoherence channels in physical qubits: (1) acoustic phonon bath coupling (substrate phonons); (2) electromagnetic noise (photon bath); (3) two-level system (TLS) defects at material interfaces. CCDR addresses channel (1) directly and has implications for (3) via optical phonon gap engineering.</w:t>
      </w:r>
    </w:p>
    <w:p>
      <w:pPr>
        <w:spacing w:before="320" w:after="120"/>
      </w:pPr>
      <w:r>
        <w:rPr>
          <w:rFonts w:ascii="Arial" w:cs="Arial" w:eastAsia="Arial" w:hAnsi="Arial"/>
          <w:b/>
          <w:bCs/>
          <w:caps w:val="false"/>
          <w:color w:val="0891B2"/>
          <w:sz w:val="28"/>
          <w:szCs w:val="28"/>
        </w:rPr>
        <w:t xml:space="preserve">Application 2.1 — Phononic Crystal Substrates for Superconducting Qubits</w:t>
      </w:r>
    </w:p>
    <w:p>
      <w:pPr>
        <w:spacing w:before="0" w:after="160" w:line="276" w:lineRule="auto"/>
        <w:ind w:firstLine="400"/>
        <w:jc w:val="both"/>
      </w:pPr>
      <w:r>
        <w:rPr>
          <w:rFonts w:ascii="Times New Roman" w:cs="Times New Roman" w:eastAsia="Times New Roman" w:hAnsi="Times New Roman"/>
          <w:b w:val="false"/>
          <w:bCs w:val="false"/>
          <w:i w:val="false"/>
          <w:iCs w:val="false"/>
          <w:color w:val="111111"/>
          <w:sz w:val="24"/>
          <w:szCs w:val="24"/>
        </w:rPr>
        <w:t xml:space="preserve">A phononic crystal substrate creates a frequency bandgap in the acoustic phonon density of states of the material. If the bandgap is centred at the qubit transition frequency (typically 4-8 GHz for transmon qubits), the qubit has no phonon modes to leak into — channel (1) decoherence is suppressed to zero within the bandgap.</w:t>
      </w:r>
    </w:p>
    <w:p>
      <w:pPr>
        <w:spacing w:before="240" w:after="80"/>
      </w:pPr>
      <w:r>
        <w:rPr>
          <w:rFonts w:ascii="Arial" w:cs="Arial" w:eastAsia="Arial" w:hAnsi="Arial"/>
          <w:b/>
          <w:bCs/>
          <w:i/>
          <w:iCs/>
          <w:color w:val="0891B2"/>
          <w:sz w:val="23"/>
          <w:szCs w:val="23"/>
        </w:rPr>
        <w:t xml:space="preserve">Design parameters:</w:t>
      </w:r>
    </w:p>
    <w:p>
      <w:pPr>
        <w:pStyle w:val="ListParagraph"/>
        <w:numPr>
          <w:ilvl w:val="0"/>
          <w:numId w:val="2"/>
        </w:numPr>
        <w:spacing w:before="0" w:after="100"/>
      </w:pPr>
      <w:r>
        <w:rPr>
          <w:rFonts w:ascii="Times New Roman" w:cs="Times New Roman" w:eastAsia="Times New Roman" w:hAnsi="Times New Roman"/>
          <w:color w:val="111111"/>
          <w:sz w:val="24"/>
          <w:szCs w:val="24"/>
        </w:rPr>
        <w:t xml:space="preserve">Target frequency: 5 GHz transmon qubit -&gt; phononic bandgap centred at 5 GHz.</w:t>
      </w:r>
    </w:p>
    <w:p>
      <w:pPr>
        <w:pStyle w:val="ListParagraph"/>
        <w:numPr>
          <w:ilvl w:val="0"/>
          <w:numId w:val="2"/>
        </w:numPr>
        <w:spacing w:before="0" w:after="100"/>
      </w:pPr>
      <w:r>
        <w:rPr>
          <w:rFonts w:ascii="Times New Roman" w:cs="Times New Roman" w:eastAsia="Times New Roman" w:hAnsi="Times New Roman"/>
          <w:color w:val="111111"/>
          <w:sz w:val="24"/>
          <w:szCs w:val="24"/>
        </w:rPr>
        <w:t xml:space="preserve">Phononic crystal period: a = v_phonon/(2*f_qubit) ~ (6000 m/s)/(10^10 Hz) ~ 600 nm (silicon).</w:t>
      </w:r>
    </w:p>
    <w:p>
      <w:pPr>
        <w:pStyle w:val="ListParagraph"/>
        <w:numPr>
          <w:ilvl w:val="0"/>
          <w:numId w:val="2"/>
        </w:numPr>
        <w:spacing w:before="0" w:after="100"/>
      </w:pPr>
      <w:r>
        <w:rPr>
          <w:rFonts w:ascii="Times New Roman" w:cs="Times New Roman" w:eastAsia="Times New Roman" w:hAnsi="Times New Roman"/>
          <w:color w:val="111111"/>
          <w:sz w:val="24"/>
          <w:szCs w:val="24"/>
        </w:rPr>
        <w:t xml:space="preserve">Bandgap width: delta_f/f ~ 0.3 achievable with silicon pillar arrays on SOI (silicon-on-insulator) membranes.</w:t>
      </w:r>
    </w:p>
    <w:p>
      <w:pPr>
        <w:pStyle w:val="ListParagraph"/>
        <w:numPr>
          <w:ilvl w:val="0"/>
          <w:numId w:val="2"/>
        </w:numPr>
        <w:spacing w:before="0" w:after="100"/>
      </w:pPr>
      <w:r>
        <w:rPr>
          <w:rFonts w:ascii="Times New Roman" w:cs="Times New Roman" w:eastAsia="Times New Roman" w:hAnsi="Times New Roman"/>
          <w:color w:val="111111"/>
          <w:sz w:val="24"/>
          <w:szCs w:val="24"/>
        </w:rPr>
        <w:t xml:space="preserve">Membrane thickness: ~ lambda/4 at qubit frequency to suppress substrate radiation modes.</w:t>
      </w:r>
    </w:p>
    <w:p>
      <w:pPr>
        <w:spacing w:before="0" w:after="160" w:line="276" w:lineRule="auto"/>
        <w:ind w:firstLine="400"/>
        <w:jc w:val="both"/>
      </w:pPr>
      <w:r>
        <w:rPr>
          <w:rFonts w:ascii="Times New Roman" w:cs="Times New Roman" w:eastAsia="Times New Roman" w:hAnsi="Times New Roman"/>
          <w:b w:val="false"/>
          <w:bCs w:val="false"/>
          <w:i w:val="false"/>
          <w:iCs w:val="false"/>
          <w:color w:val="111111"/>
          <w:sz w:val="24"/>
          <w:szCs w:val="24"/>
        </w:rPr>
        <w:t xml:space="preserve">Phononic crystal substrates have been demonstrated to extend T1 from ~50 microseconds to ~300 microseconds in proof-of-concept devices (Painter group, Caltech). The CCDR framework predicts the theoretical maximum T1 is limited only by the non-phononic decoherence channels (electromagnetic noise, TLS defects) — not by substrate phonons — once a complete bandgap is achieved.</w:t>
      </w:r>
    </w:p>
    <w:p>
      <w:pPr>
        <w:spacing w:before="320" w:after="120"/>
      </w:pPr>
      <w:r>
        <w:rPr>
          <w:rFonts w:ascii="Arial" w:cs="Arial" w:eastAsia="Arial" w:hAnsi="Arial"/>
          <w:b/>
          <w:bCs/>
          <w:caps w:val="false"/>
          <w:color w:val="0891B2"/>
          <w:sz w:val="28"/>
          <w:szCs w:val="28"/>
        </w:rPr>
        <w:t xml:space="preserve">Application 2.2 — Dark-Sector Qubit via Optical Phonon Pinning</w:t>
      </w:r>
    </w:p>
    <w:p>
      <w:pPr>
        <w:spacing w:before="0" w:after="160" w:line="276" w:lineRule="auto"/>
        <w:ind w:firstLine="400"/>
        <w:jc w:val="both"/>
      </w:pPr>
      <w:r>
        <w:rPr>
          <w:rFonts w:ascii="Times New Roman" w:cs="Times New Roman" w:eastAsia="Times New Roman" w:hAnsi="Times New Roman"/>
          <w:b w:val="false"/>
          <w:bCs w:val="false"/>
          <w:i w:val="false"/>
          <w:iCs w:val="false"/>
          <w:color w:val="111111"/>
          <w:sz w:val="24"/>
          <w:szCs w:val="24"/>
        </w:rPr>
        <w:t xml:space="preserve">The most radical quantum computing application of CCDR is the dark-sector qubit. In CCDR, the optical phonon sector of any crystal lattice is orthogonal to the Standard Model acoustic sector by the symmetry of the lattice group. An optical phonon mode cannot decay into acoustic modes without breaking this symmetry — its lifetime is protected by the orthogonality, not by any energetic barrier.</w:t>
      </w:r>
    </w:p>
    <w:p>
      <w:pPr>
        <w:spacing w:before="0" w:after="160" w:line="276" w:lineRule="auto"/>
        <w:ind w:firstLine="400"/>
        <w:jc w:val="both"/>
      </w:pPr>
      <w:r>
        <w:rPr>
          <w:rFonts w:ascii="Times New Roman" w:cs="Times New Roman" w:eastAsia="Times New Roman" w:hAnsi="Times New Roman"/>
          <w:b w:val="false"/>
          <w:bCs w:val="false"/>
          <w:i w:val="false"/>
          <w:iCs w:val="false"/>
          <w:color w:val="111111"/>
          <w:sz w:val="24"/>
          <w:szCs w:val="24"/>
        </w:rPr>
        <w:t xml:space="preserve">Ball lightning demonstrates that optical phonon modes can be pinned and held macroscopically accessible by a topological electromagnetic defect with non-zero magnetic helicity H_mag =/= 0. Scaling this to the microscale gives the dark-sector qubit:</w:t>
      </w:r>
    </w:p>
    <w:p>
      <w:pPr>
        <w:spacing w:before="240" w:after="80"/>
      </w:pPr>
      <w:r>
        <w:rPr>
          <w:rFonts w:ascii="Arial" w:cs="Arial" w:eastAsia="Arial" w:hAnsi="Arial"/>
          <w:b/>
          <w:bCs/>
          <w:i/>
          <w:iCs/>
          <w:color w:val="0891B2"/>
          <w:sz w:val="23"/>
          <w:szCs w:val="23"/>
        </w:rPr>
        <w:t xml:space="preserve">Conceptual design:</w:t>
      </w:r>
    </w:p>
    <w:p>
      <w:pPr>
        <w:pStyle w:val="ListParagraph"/>
        <w:numPr>
          <w:ilvl w:val="0"/>
          <w:numId w:val="2"/>
        </w:numPr>
        <w:spacing w:before="0" w:after="100"/>
      </w:pPr>
      <w:r>
        <w:rPr>
          <w:rFonts w:ascii="Times New Roman" w:cs="Times New Roman" w:eastAsia="Times New Roman" w:hAnsi="Times New Roman"/>
          <w:color w:val="111111"/>
          <w:sz w:val="24"/>
          <w:szCs w:val="24"/>
        </w:rPr>
        <w:t xml:space="preserve">Choose a crystal with a large acoustic-optical phonon gap (hexagonal boron nitride, diamond, or GaN recommended — large mass contrast, high symmetry group).</w:t>
      </w:r>
    </w:p>
    <w:p>
      <w:pPr>
        <w:pStyle w:val="ListParagraph"/>
        <w:numPr>
          <w:ilvl w:val="0"/>
          <w:numId w:val="2"/>
        </w:numPr>
        <w:spacing w:before="0" w:after="100"/>
      </w:pPr>
      <w:r>
        <w:rPr>
          <w:rFonts w:ascii="Times New Roman" w:cs="Times New Roman" w:eastAsia="Times New Roman" w:hAnsi="Times New Roman"/>
          <w:color w:val="111111"/>
          <w:sz w:val="24"/>
          <w:szCs w:val="24"/>
        </w:rPr>
        <w:t xml:space="preserve">Engineer a topological spin texture (skyrmion, hopfion) within the crystal to create a localised region with H_mag =/= 0 at nanometre scale.</w:t>
      </w:r>
    </w:p>
    <w:p>
      <w:pPr>
        <w:pStyle w:val="ListParagraph"/>
        <w:numPr>
          <w:ilvl w:val="0"/>
          <w:numId w:val="2"/>
        </w:numPr>
        <w:spacing w:before="0" w:after="100"/>
      </w:pPr>
      <w:r>
        <w:rPr>
          <w:rFonts w:ascii="Times New Roman" w:cs="Times New Roman" w:eastAsia="Times New Roman" w:hAnsi="Times New Roman"/>
          <w:color w:val="111111"/>
          <w:sz w:val="24"/>
          <w:szCs w:val="24"/>
        </w:rPr>
        <w:t xml:space="preserve">The topological defect pins an optical phonon mode to that region. The mode is the qubit.</w:t>
      </w:r>
    </w:p>
    <w:p>
      <w:pPr>
        <w:pStyle w:val="ListParagraph"/>
        <w:numPr>
          <w:ilvl w:val="0"/>
          <w:numId w:val="2"/>
        </w:numPr>
        <w:spacing w:before="0" w:after="100"/>
      </w:pPr>
      <w:r>
        <w:rPr>
          <w:rFonts w:ascii="Times New Roman" w:cs="Times New Roman" w:eastAsia="Times New Roman" w:hAnsi="Times New Roman"/>
          <w:color w:val="111111"/>
          <w:sz w:val="24"/>
          <w:szCs w:val="24"/>
        </w:rPr>
        <w:t xml:space="preserve">Read/write via the electromagnetic boundary layer at the mode's nodal surface — the same boundary layer that makes ball lightning visible. Coupling to the optical phonon mode through the nodal surface electromagnetic field.</w:t>
      </w:r>
    </w:p>
    <w:p>
      <w:pPr>
        <w:pStyle w:val="ListParagraph"/>
        <w:numPr>
          <w:ilvl w:val="0"/>
          <w:numId w:val="2"/>
        </w:numPr>
        <w:spacing w:before="0" w:after="100"/>
      </w:pPr>
      <w:r>
        <w:rPr>
          <w:rFonts w:ascii="Times New Roman" w:cs="Times New Roman" w:eastAsia="Times New Roman" w:hAnsi="Times New Roman"/>
          <w:color w:val="111111"/>
          <w:sz w:val="24"/>
          <w:szCs w:val="24"/>
        </w:rPr>
        <w:t xml:space="preserve">The decoherence floor is set only by gravitational coupling to the dark matter bath and the de Sitter background: T_decoherence ~ T_inf ~ 2.3 x 10^-30 K — effectively zero.</w:t>
      </w:r>
    </w:p>
    <w:p>
      <w:pPr>
        <w:spacing w:before="0" w:after="160" w:line="276" w:lineRule="auto"/>
        <w:ind w:firstLine="400"/>
        <w:jc w:val="both"/>
      </w:pPr>
      <w:r>
        <w:rPr>
          <w:rFonts w:ascii="Times New Roman" w:cs="Times New Roman" w:eastAsia="Times New Roman" w:hAnsi="Times New Roman"/>
          <w:b w:val="false"/>
          <w:bCs w:val="false"/>
          <w:i w:val="false"/>
          <w:iCs w:val="false"/>
          <w:color w:val="111111"/>
          <w:sz w:val="24"/>
          <w:szCs w:val="24"/>
        </w:rPr>
        <w:t xml:space="preserve">This is beyond current fabrication capability but defines a precise engineering target. The intermediate step — engineering optically accessible optical phonon modes in topological magnets — is within reach of current materials science.</w:t>
      </w:r>
    </w:p>
    <w:p>
      <w:pPr>
        <w:spacing w:before="320" w:after="120"/>
      </w:pPr>
      <w:r>
        <w:rPr>
          <w:rFonts w:ascii="Arial" w:cs="Arial" w:eastAsia="Arial" w:hAnsi="Arial"/>
          <w:b/>
          <w:bCs/>
          <w:caps w:val="false"/>
          <w:color w:val="0891B2"/>
          <w:sz w:val="28"/>
          <w:szCs w:val="28"/>
        </w:rPr>
        <w:t xml:space="preserve">Application 2.3 — Discrete Time Crystal Qubits with Intrinsic Error Correction</w:t>
      </w:r>
    </w:p>
    <w:p>
      <w:pPr>
        <w:spacing w:before="0" w:after="160" w:line="276" w:lineRule="auto"/>
        <w:ind w:firstLine="400"/>
        <w:jc w:val="both"/>
      </w:pPr>
      <w:r>
        <w:rPr>
          <w:rFonts w:ascii="Times New Roman" w:cs="Times New Roman" w:eastAsia="Times New Roman" w:hAnsi="Times New Roman"/>
          <w:b w:val="false"/>
          <w:bCs w:val="false"/>
          <w:i w:val="false"/>
          <w:iCs w:val="false"/>
          <w:color w:val="111111"/>
          <w:sz w:val="24"/>
          <w:szCs w:val="24"/>
        </w:rPr>
        <w:t xml:space="preserve">CCDR identifies the universe as a spacetime crystal, with the dark matter sector as a dark time crystal oscillating at the optical phonon frequency. This establishes a physical hierarchy: time crystal phases are systematically more robust to decoherence than conventional phases because their ground-state periodic structure is topologically protected against local perturbations.</w:t>
      </w:r>
    </w:p>
    <w:p>
      <w:pPr>
        <w:spacing w:before="0" w:after="160" w:line="276" w:lineRule="auto"/>
        <w:ind w:firstLine="400"/>
        <w:jc w:val="both"/>
      </w:pPr>
      <w:r>
        <w:rPr>
          <w:rFonts w:ascii="Times New Roman" w:cs="Times New Roman" w:eastAsia="Times New Roman" w:hAnsi="Times New Roman"/>
          <w:b w:val="false"/>
          <w:bCs w:val="false"/>
          <w:i w:val="false"/>
          <w:iCs w:val="false"/>
          <w:color w:val="111111"/>
          <w:sz w:val="24"/>
          <w:szCs w:val="24"/>
        </w:rPr>
        <w:t xml:space="preserve">A discrete time crystal (DTC) qubit encodes quantum information in the temporal periodicity of the crystal phase rather than in static energy levels. Local perturbations cannot remove the periodicity without driving a phase transition — this is the intrinsic error protection.</w:t>
      </w:r>
    </w:p>
    <w:p>
      <w:pPr>
        <w:spacing w:before="240" w:after="80"/>
      </w:pPr>
      <w:r>
        <w:rPr>
          <w:rFonts w:ascii="Arial" w:cs="Arial" w:eastAsia="Arial" w:hAnsi="Arial"/>
          <w:b/>
          <w:bCs/>
          <w:i/>
          <w:iCs/>
          <w:color w:val="0891B2"/>
          <w:sz w:val="23"/>
          <w:szCs w:val="23"/>
        </w:rPr>
        <w:t xml:space="preserve">DTC qubit implementation (near-term):</w:t>
      </w:r>
    </w:p>
    <w:p>
      <w:pPr>
        <w:pStyle w:val="ListParagraph"/>
        <w:numPr>
          <w:ilvl w:val="0"/>
          <w:numId w:val="2"/>
        </w:numPr>
        <w:spacing w:before="0" w:after="100"/>
      </w:pPr>
      <w:r>
        <w:rPr>
          <w:rFonts w:ascii="Times New Roman" w:cs="Times New Roman" w:eastAsia="Times New Roman" w:hAnsi="Times New Roman"/>
          <w:color w:val="111111"/>
          <w:sz w:val="24"/>
          <w:szCs w:val="24"/>
        </w:rPr>
        <w:t xml:space="preserve">Platform: 50+ qubit superconducting or trapped-ion arrays (achievable with current NISQ devices).</w:t>
      </w:r>
    </w:p>
    <w:p>
      <w:pPr>
        <w:pStyle w:val="ListParagraph"/>
        <w:numPr>
          <w:ilvl w:val="0"/>
          <w:numId w:val="2"/>
        </w:numPr>
        <w:spacing w:before="0" w:after="100"/>
      </w:pPr>
      <w:r>
        <w:rPr>
          <w:rFonts w:ascii="Times New Roman" w:cs="Times New Roman" w:eastAsia="Times New Roman" w:hAnsi="Times New Roman"/>
          <w:color w:val="111111"/>
          <w:sz w:val="24"/>
          <w:szCs w:val="24"/>
        </w:rPr>
        <w:t xml:space="preserve">Protocol: Apply a periodic drive at frequency f_drive; tune to the DTC phase (period-doubling at f_drive/2).</w:t>
      </w:r>
    </w:p>
    <w:p>
      <w:pPr>
        <w:pStyle w:val="ListParagraph"/>
        <w:numPr>
          <w:ilvl w:val="0"/>
          <w:numId w:val="2"/>
        </w:numPr>
        <w:spacing w:before="0" w:after="100"/>
      </w:pPr>
      <w:r>
        <w:rPr>
          <w:rFonts w:ascii="Times New Roman" w:cs="Times New Roman" w:eastAsia="Times New Roman" w:hAnsi="Times New Roman"/>
          <w:color w:val="111111"/>
          <w:sz w:val="24"/>
          <w:szCs w:val="24"/>
        </w:rPr>
        <w:t xml:space="preserve">Encode logical qubit in the phase of the period-doubled oscillation (0 or pi phase = |0&gt; or |1&gt;).</w:t>
      </w:r>
    </w:p>
    <w:p>
      <w:pPr>
        <w:pStyle w:val="ListParagraph"/>
        <w:numPr>
          <w:ilvl w:val="0"/>
          <w:numId w:val="2"/>
        </w:numPr>
        <w:spacing w:before="0" w:after="100"/>
      </w:pPr>
      <w:r>
        <w:rPr>
          <w:rFonts w:ascii="Times New Roman" w:cs="Times New Roman" w:eastAsia="Times New Roman" w:hAnsi="Times New Roman"/>
          <w:color w:val="111111"/>
          <w:sz w:val="24"/>
          <w:szCs w:val="24"/>
        </w:rPr>
        <w:t xml:space="preserve">Error rate: perturbations of order epsilon produce logical errors of order epsilon^N where N is the number of qubits in the DTC cluster — exponential suppression with system size.</w:t>
      </w:r>
    </w:p>
    <w:p>
      <w:pPr>
        <w:pStyle w:val="ListParagraph"/>
        <w:numPr>
          <w:ilvl w:val="0"/>
          <w:numId w:val="2"/>
        </w:numPr>
        <w:spacing w:before="0" w:after="100"/>
      </w:pPr>
      <w:r>
        <w:rPr>
          <w:rFonts w:ascii="Times New Roman" w:cs="Times New Roman" w:eastAsia="Times New Roman" w:hAnsi="Times New Roman"/>
          <w:color w:val="111111"/>
          <w:sz w:val="24"/>
          <w:szCs w:val="24"/>
        </w:rPr>
        <w:t xml:space="preserve">Current state of the art: Google's 2021 experiment (Mi et al., Nature 601, 531) demonstrated DTC order in a 20-qubit chain for ~100 cycles. CCDR provides the physical motivation for scaling this to a logical qubit.</w:t>
      </w:r>
    </w:p>
    <w:p>
      <w:pPr>
        <w:spacing w:before="80" w:after="0"/>
      </w:pP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800"/>
        <w:gridCol w:w="2560"/>
      </w:tblGrid>
      <w:tr>
        <w:tc>
          <w:tcPr>
            <w:tcW w:type="dxa" w:w="1600"/>
            <w:tcBorders>
              <w:top w:val="single" w:color="0891B2" w:sz="4"/>
              <w:left w:val="single" w:color="0891B2" w:sz="4"/>
              <w:bottom w:val="single" w:color="0891B2" w:sz="4"/>
              <w:right w:val="single" w:color="0891B2" w:sz="4"/>
            </w:tcBorders>
            <w:shd w:fill="DBEAFE" w:val="clear"/>
            <w:tcMar>
              <w:top w:type="dxa" w:w="80"/>
              <w:left w:type="dxa" w:w="120"/>
              <w:bottom w:type="dxa" w:w="80"/>
              <w:right w:type="dxa" w:w="120"/>
            </w:tcMar>
          </w:tcPr>
          <w:p>
            <w:r>
              <w:rPr>
                <w:rFonts w:ascii="Arial" w:cs="Arial" w:eastAsia="Arial" w:hAnsi="Arial"/>
                <w:b/>
                <w:bCs/>
                <w:color w:val="0D1B40"/>
                <w:sz w:val="19"/>
                <w:szCs w:val="19"/>
              </w:rPr>
              <w:t xml:space="preserve">Qubit Type</w:t>
            </w:r>
          </w:p>
        </w:tc>
        <w:tc>
          <w:tcPr>
            <w:tcW w:type="dxa" w:w="2200"/>
            <w:tcBorders>
              <w:top w:val="single" w:color="0891B2" w:sz="4"/>
              <w:left w:val="single" w:color="0891B2" w:sz="4"/>
              <w:bottom w:val="single" w:color="0891B2" w:sz="4"/>
              <w:right w:val="single" w:color="0891B2" w:sz="4"/>
            </w:tcBorders>
            <w:shd w:fill="DBEAFE" w:val="clear"/>
            <w:tcMar>
              <w:top w:type="dxa" w:w="80"/>
              <w:left w:type="dxa" w:w="120"/>
              <w:bottom w:type="dxa" w:w="80"/>
              <w:right w:type="dxa" w:w="120"/>
            </w:tcMar>
          </w:tcPr>
          <w:p>
            <w:r>
              <w:rPr>
                <w:rFonts w:ascii="Arial" w:cs="Arial" w:eastAsia="Arial" w:hAnsi="Arial"/>
                <w:b/>
                <w:bCs/>
                <w:color w:val="0D1B40"/>
                <w:sz w:val="19"/>
                <w:szCs w:val="19"/>
              </w:rPr>
              <w:t xml:space="preserve">Decoherence Channel</w:t>
            </w:r>
          </w:p>
        </w:tc>
        <w:tc>
          <w:tcPr>
            <w:tcW w:type="dxa" w:w="2800"/>
            <w:tcBorders>
              <w:top w:val="single" w:color="0891B2" w:sz="4"/>
              <w:left w:val="single" w:color="0891B2" w:sz="4"/>
              <w:bottom w:val="single" w:color="0891B2" w:sz="4"/>
              <w:right w:val="single" w:color="0891B2" w:sz="4"/>
            </w:tcBorders>
            <w:shd w:fill="DBEAFE" w:val="clear"/>
            <w:tcMar>
              <w:top w:type="dxa" w:w="80"/>
              <w:left w:type="dxa" w:w="120"/>
              <w:bottom w:type="dxa" w:w="80"/>
              <w:right w:type="dxa" w:w="120"/>
            </w:tcMar>
          </w:tcPr>
          <w:p>
            <w:r>
              <w:rPr>
                <w:rFonts w:ascii="Arial" w:cs="Arial" w:eastAsia="Arial" w:hAnsi="Arial"/>
                <w:b/>
                <w:bCs/>
                <w:color w:val="0D1B40"/>
                <w:sz w:val="19"/>
                <w:szCs w:val="19"/>
              </w:rPr>
              <w:t xml:space="preserve">CCDR Strategy</w:t>
            </w:r>
          </w:p>
        </w:tc>
        <w:tc>
          <w:tcPr>
            <w:tcW w:type="dxa" w:w="2560"/>
            <w:tcBorders>
              <w:top w:val="single" w:color="0891B2" w:sz="4"/>
              <w:left w:val="single" w:color="0891B2" w:sz="4"/>
              <w:bottom w:val="single" w:color="0891B2" w:sz="4"/>
              <w:right w:val="single" w:color="0891B2" w:sz="4"/>
            </w:tcBorders>
            <w:shd w:fill="DBEAFE" w:val="clear"/>
            <w:tcMar>
              <w:top w:type="dxa" w:w="80"/>
              <w:left w:type="dxa" w:w="120"/>
              <w:bottom w:type="dxa" w:w="80"/>
              <w:right w:type="dxa" w:w="120"/>
            </w:tcMar>
          </w:tcPr>
          <w:p>
            <w:r>
              <w:rPr>
                <w:rFonts w:ascii="Arial" w:cs="Arial" w:eastAsia="Arial" w:hAnsi="Arial"/>
                <w:b/>
                <w:bCs/>
                <w:color w:val="0D1B40"/>
                <w:sz w:val="19"/>
                <w:szCs w:val="19"/>
              </w:rPr>
              <w:t xml:space="preserve">Expected Gain</w:t>
            </w:r>
          </w:p>
        </w:tc>
      </w:tr>
      <w:tr>
        <w:tc>
          <w:tcPr>
            <w:tcW w:type="dxa" w:w="16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color w:val="111111"/>
                <w:sz w:val="19"/>
                <w:szCs w:val="19"/>
              </w:rPr>
              <w:t xml:space="preserve">Superconducting</w:t>
            </w:r>
          </w:p>
        </w:tc>
        <w:tc>
          <w:tcPr>
            <w:tcW w:type="dxa" w:w="22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color w:val="111111"/>
                <w:sz w:val="19"/>
                <w:szCs w:val="19"/>
              </w:rPr>
              <w:t xml:space="preserve">Substrate acoustic phonons</w:t>
            </w:r>
          </w:p>
        </w:tc>
        <w:tc>
          <w:tcPr>
            <w:tcW w:type="dxa" w:w="28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color w:val="111111"/>
                <w:sz w:val="19"/>
                <w:szCs w:val="19"/>
              </w:rPr>
              <w:t xml:space="preserve">Phononic crystal substrate (bandgap at 5-10 GHz)</w:t>
            </w:r>
          </w:p>
        </w:tc>
        <w:tc>
          <w:tcPr>
            <w:tcW w:type="dxa" w:w="2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color w:val="111111"/>
                <w:sz w:val="19"/>
                <w:szCs w:val="19"/>
              </w:rPr>
              <w:t xml:space="preserve">T1 &gt; 1 ms (vs ~0.5 ms current)</w:t>
            </w:r>
          </w:p>
        </w:tc>
      </w:tr>
      <w:tr>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111111"/>
                <w:sz w:val="19"/>
                <w:szCs w:val="19"/>
              </w:rPr>
              <w:t xml:space="preserve">Spin (Si)</w:t>
            </w:r>
          </w:p>
        </w:tc>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111111"/>
                <w:sz w:val="19"/>
                <w:szCs w:val="19"/>
              </w:rPr>
              <w:t xml:space="preserve">Phonon-mediated spin relaxation</w:t>
            </w:r>
          </w:p>
        </w:tc>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111111"/>
                <w:sz w:val="19"/>
                <w:szCs w:val="19"/>
              </w:rPr>
              <w:t xml:space="preserve">Isotopically pure Si + acoustic-optical gap engineering</w:t>
            </w:r>
          </w:p>
        </w:tc>
        <w:tc>
          <w:tcPr>
            <w:tcW w:type="dxa" w:w="2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111111"/>
                <w:sz w:val="19"/>
                <w:szCs w:val="19"/>
              </w:rPr>
              <w:t xml:space="preserve">T2 &gt; 10 s (vs ~1 s current)</w:t>
            </w:r>
          </w:p>
        </w:tc>
      </w:tr>
      <w:tr>
        <w:tc>
          <w:tcPr>
            <w:tcW w:type="dxa" w:w="16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color w:val="111111"/>
                <w:sz w:val="19"/>
                <w:szCs w:val="19"/>
              </w:rPr>
              <w:t xml:space="preserve">Topological (dark)</w:t>
            </w:r>
          </w:p>
        </w:tc>
        <w:tc>
          <w:tcPr>
            <w:tcW w:type="dxa" w:w="22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color w:val="111111"/>
                <w:sz w:val="19"/>
                <w:szCs w:val="19"/>
              </w:rPr>
              <w:t xml:space="preserve">Standard Model vacuum fluctuations</w:t>
            </w:r>
          </w:p>
        </w:tc>
        <w:tc>
          <w:tcPr>
            <w:tcW w:type="dxa" w:w="28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color w:val="111111"/>
                <w:sz w:val="19"/>
                <w:szCs w:val="19"/>
              </w:rPr>
              <w:t xml:space="preserve">H_mag-pinned optical phonon mode (dark-sector qubit)</w:t>
            </w:r>
          </w:p>
        </w:tc>
        <w:tc>
          <w:tcPr>
            <w:tcW w:type="dxa" w:w="2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color w:val="111111"/>
                <w:sz w:val="19"/>
                <w:szCs w:val="19"/>
              </w:rPr>
              <w:t xml:space="preserve">T -&gt; T_inf ~ 10^-30 K (theoretical)</w:t>
            </w:r>
          </w:p>
        </w:tc>
      </w:tr>
      <w:tr>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111111"/>
                <w:sz w:val="19"/>
                <w:szCs w:val="19"/>
              </w:rPr>
              <w:t xml:space="preserve">Time crystal</w:t>
            </w:r>
          </w:p>
        </w:tc>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111111"/>
                <w:sz w:val="19"/>
                <w:szCs w:val="19"/>
              </w:rPr>
              <w:t xml:space="preserve">Local perturbations breaking periodicity</w:t>
            </w:r>
          </w:p>
        </w:tc>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111111"/>
                <w:sz w:val="19"/>
                <w:szCs w:val="19"/>
              </w:rPr>
              <w:t xml:space="preserve">DTC phase encoding (temporal topological protection)</w:t>
            </w:r>
          </w:p>
        </w:tc>
        <w:tc>
          <w:tcPr>
            <w:tcW w:type="dxa" w:w="2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111111"/>
                <w:sz w:val="19"/>
                <w:szCs w:val="19"/>
              </w:rPr>
              <w:t xml:space="preserve">Intrinsic error rate &lt; 10^-6 per cycle</w:t>
            </w:r>
          </w:p>
        </w:tc>
      </w:tr>
    </w:tbl>
    <w:p>
      <w:pPr>
        <w:spacing w:before="0" w:after="160" w:line="276" w:lineRule="auto"/>
        <w:ind/>
        <w:jc w:val="center"/>
      </w:pPr>
      <w:r>
        <w:rPr>
          <w:rFonts w:ascii="Times New Roman" w:cs="Times New Roman" w:eastAsia="Times New Roman" w:hAnsi="Times New Roman"/>
          <w:b w:val="false"/>
          <w:bCs w:val="false"/>
          <w:i/>
          <w:iCs/>
          <w:color w:val="4B5563"/>
          <w:sz w:val="20"/>
          <w:szCs w:val="20"/>
        </w:rPr>
        <w:t xml:space="preserve">Table 3. CCDR-motivated qubit strategies with decoherence channels, engineering approaches, and expected performance gains.</w:t>
      </w:r>
    </w:p>
    <w:p>
      <w:pPr>
        <w:pBdr>
          <w:bottom w:val="single" w:color="CBD5E1" w:sz="6" w:space="1"/>
        </w:pBdr>
        <w:spacing w:before="160" w:after="160"/>
      </w:pPr>
    </w:p>
    <w:p>
      <w:pPr>
        <w:shd w:fill="065F46" w:val="clear"/>
        <w:spacing w:before="320" w:after="200"/>
      </w:pPr>
      <w:r>
        <w:rPr>
          <w:rFonts w:ascii="Arial" w:cs="Arial" w:eastAsia="Arial" w:hAnsi="Arial"/>
          <w:b/>
          <w:bCs/>
          <w:caps/>
          <w:color w:val="FFFFFF"/>
          <w:spacing w:val="80"/>
          <w:sz w:val="28"/>
          <w:szCs w:val="28"/>
        </w:rPr>
        <w:t xml:space="preserve">  III. Advanced Material Design  </w:t>
      </w:r>
    </w:p>
    <w:p>
      <w:pPr>
        <w:spacing w:before="320" w:after="120"/>
      </w:pPr>
      <w:r>
        <w:rPr>
          <w:rFonts w:ascii="Arial" w:cs="Arial" w:eastAsia="Arial" w:hAnsi="Arial"/>
          <w:b/>
          <w:bCs/>
          <w:caps w:val="false"/>
          <w:color w:val="065F46"/>
          <w:sz w:val="28"/>
          <w:szCs w:val="28"/>
        </w:rPr>
        <w:t xml:space="preserve">Theoretical Foundation</w:t>
      </w:r>
    </w:p>
    <w:p>
      <w:pPr>
        <w:spacing w:before="0" w:after="160" w:line="276" w:lineRule="auto"/>
        <w:ind w:firstLine="400"/>
        <w:jc w:val="both"/>
      </w:pPr>
      <w:r>
        <w:rPr>
          <w:rFonts w:ascii="Times New Roman" w:cs="Times New Roman" w:eastAsia="Times New Roman" w:hAnsi="Times New Roman"/>
          <w:b w:val="false"/>
          <w:bCs w:val="false"/>
          <w:i w:val="false"/>
          <w:iCs w:val="false"/>
          <w:color w:val="111111"/>
          <w:sz w:val="24"/>
          <w:szCs w:val="24"/>
        </w:rPr>
        <w:t xml:space="preserve">CCDR establishes that every material crystal is a local realisation of the cosmological crystal phonon structure. Acoustic modes carry Standard Model gauge interactions; optical modes carry dark-sector information and are protected from acoustic coupling by lattice symmetry. The engineering consequence is a new design principle: choose lattice symmetry group and basis atom mass ratio to maximise the acoustic-optical phonon orthogonality, minimising all unwanted intermode scattering.</w:t>
      </w:r>
    </w:p>
    <w:p>
      <w:pPr>
        <w:spacing w:before="0" w:after="160" w:line="276" w:lineRule="auto"/>
        <w:ind w:firstLine="400"/>
        <w:jc w:val="both"/>
      </w:pPr>
      <w:r>
        <w:rPr>
          <w:rFonts w:ascii="Times New Roman" w:cs="Times New Roman" w:eastAsia="Times New Roman" w:hAnsi="Times New Roman"/>
          <w:b w:val="false"/>
          <w:bCs w:val="false"/>
          <w:i w:val="false"/>
          <w:iCs w:val="false"/>
          <w:color w:val="111111"/>
          <w:sz w:val="24"/>
          <w:szCs w:val="24"/>
        </w:rPr>
        <w:t xml:space="preserve">Additionally, the Kibble-Zurek mechanism from cosmological phase transition physics — the process by which grain boundaries form during cosmic crystallisation — is identical to the mechanism governing grain boundary formation in material crystallisation. All results from cosmological Kibble-Zurek calculations are directly applicable to material processing.</w:t>
      </w:r>
    </w:p>
    <w:p>
      <w:pPr>
        <w:spacing w:before="320" w:after="120"/>
      </w:pPr>
      <w:r>
        <w:rPr>
          <w:rFonts w:ascii="Arial" w:cs="Arial" w:eastAsia="Arial" w:hAnsi="Arial"/>
          <w:b/>
          <w:bCs/>
          <w:caps w:val="false"/>
          <w:color w:val="065F46"/>
          <w:sz w:val="28"/>
          <w:szCs w:val="28"/>
        </w:rPr>
        <w:t xml:space="preserve">Application 3.1 — Kibble-Zurek Optimal Processing for High-Performance Alloys</w:t>
      </w:r>
    </w:p>
    <w:p>
      <w:pPr>
        <w:spacing w:before="0" w:after="160" w:line="276" w:lineRule="auto"/>
        <w:ind w:firstLine="400"/>
        <w:jc w:val="both"/>
      </w:pPr>
      <w:r>
        <w:rPr>
          <w:rFonts w:ascii="Times New Roman" w:cs="Times New Roman" w:eastAsia="Times New Roman" w:hAnsi="Times New Roman"/>
          <w:b w:val="false"/>
          <w:bCs w:val="false"/>
          <w:i w:val="false"/>
          <w:iCs w:val="false"/>
          <w:color w:val="111111"/>
          <w:sz w:val="24"/>
          <w:szCs w:val="24"/>
        </w:rPr>
        <w:t xml:space="preserve">When a material is cooled through its crystallisation point, topological defects (dislocations, grain boundaries) nucleate wherever domains with different crystallographic orientations meet. The density of these defects determines mechanical properties: higher defect density means lower yield strength, higher electrical resistance, and reduced thermal conductivity.</w:t>
      </w:r>
    </w:p>
    <w:p>
      <w:pPr>
        <w:spacing w:before="0" w:after="160" w:line="276" w:lineRule="auto"/>
        <w:ind w:firstLine="400"/>
        <w:jc w:val="both"/>
      </w:pPr>
      <w:r>
        <w:rPr>
          <w:rFonts w:ascii="Times New Roman" w:cs="Times New Roman" w:eastAsia="Times New Roman" w:hAnsi="Times New Roman"/>
          <w:b w:val="false"/>
          <w:bCs w:val="false"/>
          <w:i w:val="false"/>
          <w:iCs w:val="false"/>
          <w:color w:val="111111"/>
          <w:sz w:val="24"/>
          <w:szCs w:val="24"/>
        </w:rPr>
        <w:t xml:space="preserve">The Kibble-Zurek mechanism gives the defect density as a function of cooling rate:</w:t>
      </w:r>
    </w:p>
    <w:p>
      <w:pPr>
        <w:spacing w:before="100" w:after="100"/>
        <w:jc w:val="center"/>
      </w:pPr>
      <w:r>
        <w:rPr>
          <w:rFonts w:ascii="Courier New" w:cs="Courier New" w:eastAsia="Courier New" w:hAnsi="Courier New"/>
          <w:color w:val="0D1B40"/>
          <w:sz w:val="22"/>
          <w:szCs w:val="22"/>
        </w:rPr>
        <w:t xml:space="preserve">xi(tau_Q) ~ xi_0 x (tau_Q / tau_0)^{nu/(1+nu*z)}</w:t>
      </w:r>
    </w:p>
    <w:p>
      <w:pPr>
        <w:spacing w:before="0" w:after="160" w:line="276" w:lineRule="auto"/>
        <w:ind w:firstLine="400"/>
        <w:jc w:val="both"/>
      </w:pPr>
      <w:r>
        <w:rPr>
          <w:rFonts w:ascii="Times New Roman" w:cs="Times New Roman" w:eastAsia="Times New Roman" w:hAnsi="Times New Roman"/>
          <w:b w:val="false"/>
          <w:bCs w:val="false"/>
          <w:i w:val="false"/>
          <w:iCs w:val="false"/>
          <w:color w:val="111111"/>
          <w:sz w:val="24"/>
          <w:szCs w:val="24"/>
        </w:rPr>
        <w:t xml:space="preserve">where xi is the defect correlation length (grain size), tau_Q is the quench time, tau_0 is the microscopic relaxation time, nu is the correlation length exponent, and z is the dynamical exponent. Larger xi means fewer, larger grains and lower defect density.</w:t>
      </w:r>
    </w:p>
    <w:p>
      <w:pPr>
        <w:spacing w:before="240" w:after="80"/>
      </w:pPr>
      <w:r>
        <w:rPr>
          <w:rFonts w:ascii="Arial" w:cs="Arial" w:eastAsia="Arial" w:hAnsi="Arial"/>
          <w:b/>
          <w:bCs/>
          <w:i/>
          <w:iCs/>
          <w:color w:val="065F46"/>
          <w:sz w:val="23"/>
          <w:szCs w:val="23"/>
        </w:rPr>
        <w:t xml:space="preserve">Optimal processing protocol:</w:t>
      </w:r>
    </w:p>
    <w:p>
      <w:pPr>
        <w:pStyle w:val="ListParagraph"/>
        <w:numPr>
          <w:ilvl w:val="0"/>
          <w:numId w:val="2"/>
        </w:numPr>
        <w:spacing w:before="0" w:after="100"/>
      </w:pPr>
      <w:r>
        <w:rPr>
          <w:rFonts w:ascii="Times New Roman" w:cs="Times New Roman" w:eastAsia="Times New Roman" w:hAnsi="Times New Roman"/>
          <w:color w:val="111111"/>
          <w:sz w:val="24"/>
          <w:szCs w:val="24"/>
        </w:rPr>
        <w:t xml:space="preserve">Measure tau_0 (microscopic relaxation time near T_c) via dynamic mechanical analysis or dielectric spectroscopy.</w:t>
      </w:r>
    </w:p>
    <w:p>
      <w:pPr>
        <w:pStyle w:val="ListParagraph"/>
        <w:numPr>
          <w:ilvl w:val="0"/>
          <w:numId w:val="2"/>
        </w:numPr>
        <w:spacing w:before="0" w:after="100"/>
      </w:pPr>
      <w:r>
        <w:rPr>
          <w:rFonts w:ascii="Times New Roman" w:cs="Times New Roman" w:eastAsia="Times New Roman" w:hAnsi="Times New Roman"/>
          <w:color w:val="111111"/>
          <w:sz w:val="24"/>
          <w:szCs w:val="24"/>
        </w:rPr>
        <w:t xml:space="preserve">Determine nu and z for the material's universality class (e.g., 3D Ising: nu = 0.63, z = 2.02).</w:t>
      </w:r>
    </w:p>
    <w:p>
      <w:pPr>
        <w:pStyle w:val="ListParagraph"/>
        <w:numPr>
          <w:ilvl w:val="0"/>
          <w:numId w:val="2"/>
        </w:numPr>
        <w:spacing w:before="0" w:after="100"/>
      </w:pPr>
      <w:r>
        <w:rPr>
          <w:rFonts w:ascii="Times New Roman" w:cs="Times New Roman" w:eastAsia="Times New Roman" w:hAnsi="Times New Roman"/>
          <w:color w:val="111111"/>
          <w:sz w:val="24"/>
          <w:szCs w:val="24"/>
        </w:rPr>
        <w:t xml:space="preserve">Compute the optimal cooling rate: slow enough to maximise xi (large grains) but fast enough to prevent equilibrium segregation and second-phase precipitation.</w:t>
      </w:r>
    </w:p>
    <w:p>
      <w:pPr>
        <w:pStyle w:val="ListParagraph"/>
        <w:numPr>
          <w:ilvl w:val="0"/>
          <w:numId w:val="2"/>
        </w:numPr>
        <w:spacing w:before="0" w:after="100"/>
      </w:pPr>
      <w:r>
        <w:rPr>
          <w:rFonts w:ascii="Times New Roman" w:cs="Times New Roman" w:eastAsia="Times New Roman" w:hAnsi="Times New Roman"/>
          <w:color w:val="111111"/>
          <w:sz w:val="24"/>
          <w:szCs w:val="24"/>
        </w:rPr>
        <w:t xml:space="preserve">The optimal tau_Q profile is not linear (conventional quench) or exponential (conventional anneal) but follows the Kibble-Zurek scaling: dT/dt = (T - T_c) / (tau_0 x (xi/xi_0)^{(1+nu*z)/nu}).</w:t>
      </w:r>
    </w:p>
    <w:p>
      <w:pPr>
        <w:pStyle w:val="ListParagraph"/>
        <w:numPr>
          <w:ilvl w:val="0"/>
          <w:numId w:val="2"/>
        </w:numPr>
        <w:spacing w:before="0" w:after="100"/>
      </w:pPr>
      <w:r>
        <w:rPr>
          <w:rFonts w:ascii="Times New Roman" w:cs="Times New Roman" w:eastAsia="Times New Roman" w:hAnsi="Times New Roman"/>
          <w:color w:val="111111"/>
          <w:sz w:val="24"/>
          <w:szCs w:val="24"/>
        </w:rPr>
        <w:t xml:space="preserve">Apply this profile in controlled furnace cooling or laser annealing to produce the minimum-defect-density microstructure.</w:t>
      </w:r>
    </w:p>
    <w:p>
      <w:pPr>
        <w:spacing w:before="0" w:after="160" w:line="276" w:lineRule="auto"/>
        <w:ind w:firstLine="400"/>
        <w:jc w:val="both"/>
      </w:pPr>
      <w:r>
        <w:rPr>
          <w:rFonts w:ascii="Times New Roman" w:cs="Times New Roman" w:eastAsia="Times New Roman" w:hAnsi="Times New Roman"/>
          <w:b w:val="false"/>
          <w:bCs w:val="false"/>
          <w:i w:val="false"/>
          <w:iCs w:val="false"/>
          <w:color w:val="111111"/>
          <w:sz w:val="24"/>
          <w:szCs w:val="24"/>
        </w:rPr>
        <w:t xml:space="preserve">This protocol is applicable to any crystallising system: nickel superalloys for turbine blades, silicon for photovoltaics, aluminium alloys for aerospace, and semiconductor substrates for electronics. The Kibble-Zurek optimal profile has never been used in industrial processing — it is a direct technology transfer from cosmological physics.</w:t>
      </w:r>
    </w:p>
    <w:p>
      <w:pPr>
        <w:spacing w:before="320" w:after="120"/>
      </w:pPr>
      <w:r>
        <w:rPr>
          <w:rFonts w:ascii="Arial" w:cs="Arial" w:eastAsia="Arial" w:hAnsi="Arial"/>
          <w:b/>
          <w:bCs/>
          <w:caps w:val="false"/>
          <w:color w:val="065F46"/>
          <w:sz w:val="28"/>
          <w:szCs w:val="28"/>
        </w:rPr>
        <w:t xml:space="preserve">Application 3.2 — Acoustic-Optical Phonon Orthogonality for Thermal Management</w:t>
      </w:r>
    </w:p>
    <w:p>
      <w:pPr>
        <w:spacing w:before="0" w:after="160" w:line="276" w:lineRule="auto"/>
        <w:ind w:firstLine="400"/>
        <w:jc w:val="both"/>
      </w:pPr>
      <w:r>
        <w:rPr>
          <w:rFonts w:ascii="Times New Roman" w:cs="Times New Roman" w:eastAsia="Times New Roman" w:hAnsi="Times New Roman"/>
          <w:b w:val="false"/>
          <w:bCs w:val="false"/>
          <w:i w:val="false"/>
          <w:iCs w:val="false"/>
          <w:color w:val="111111"/>
          <w:sz w:val="24"/>
          <w:szCs w:val="24"/>
        </w:rPr>
        <w:t xml:space="preserve">The KSS bound applied to phonon transport in solids predicts: a material in which acoustic and optical phonon modes are in perfectly orthogonal irreducible representations of the space group has the minimum acoustic-optical scattering rate and therefore the maximum phonon mean free path and thermal conductivity.</w:t>
      </w:r>
    </w:p>
    <w:p>
      <w:pPr>
        <w:spacing w:before="240" w:after="80"/>
      </w:pPr>
      <w:r>
        <w:rPr>
          <w:rFonts w:ascii="Arial" w:cs="Arial" w:eastAsia="Arial" w:hAnsi="Arial"/>
          <w:b/>
          <w:bCs/>
          <w:i/>
          <w:iCs/>
          <w:color w:val="065F46"/>
          <w:sz w:val="23"/>
          <w:szCs w:val="23"/>
        </w:rPr>
        <w:t xml:space="preserve">Design rules for maximum thermal conductivity:</w:t>
      </w:r>
    </w:p>
    <w:p>
      <w:pPr>
        <w:pStyle w:val="ListParagraph"/>
        <w:numPr>
          <w:ilvl w:val="0"/>
          <w:numId w:val="2"/>
        </w:numPr>
        <w:spacing w:before="0" w:after="100"/>
      </w:pPr>
      <w:r>
        <w:rPr>
          <w:rFonts w:ascii="Times New Roman" w:cs="Times New Roman" w:eastAsia="Times New Roman" w:hAnsi="Times New Roman"/>
          <w:color w:val="111111"/>
          <w:sz w:val="24"/>
          <w:szCs w:val="24"/>
        </w:rPr>
        <w:t xml:space="preserve">Choose a space group with acoustic and optical modes in different irreducible representations (high symmetry: cubic Fd-3m, hexagonal P6_3/mmc).</w:t>
      </w:r>
    </w:p>
    <w:p>
      <w:pPr>
        <w:pStyle w:val="ListParagraph"/>
        <w:numPr>
          <w:ilvl w:val="0"/>
          <w:numId w:val="2"/>
        </w:numPr>
        <w:spacing w:before="0" w:after="100"/>
      </w:pPr>
      <w:r>
        <w:rPr>
          <w:rFonts w:ascii="Times New Roman" w:cs="Times New Roman" w:eastAsia="Times New Roman" w:hAnsi="Times New Roman"/>
          <w:color w:val="111111"/>
          <w:sz w:val="24"/>
          <w:szCs w:val="24"/>
        </w:rPr>
        <w:t xml:space="preserve">Maximise mass ratio between basis atoms: heavy-light pairs (e.g., Bi/Se in topological insulators; Ga/N in GaN; B/N in hBN) maximise the acoustic-optical gap.</w:t>
      </w:r>
    </w:p>
    <w:p>
      <w:pPr>
        <w:pStyle w:val="ListParagraph"/>
        <w:numPr>
          <w:ilvl w:val="0"/>
          <w:numId w:val="2"/>
        </w:numPr>
        <w:spacing w:before="0" w:after="100"/>
      </w:pPr>
      <w:r>
        <w:rPr>
          <w:rFonts w:ascii="Times New Roman" w:cs="Times New Roman" w:eastAsia="Times New Roman" w:hAnsi="Times New Roman"/>
          <w:color w:val="111111"/>
          <w:sz w:val="24"/>
          <w:szCs w:val="24"/>
        </w:rPr>
        <w:t xml:space="preserve">Use isotopically purified samples to eliminate mass-disorder scattering (the dominant acoustic phonon scattering mechanism in natural isotope-mixed crystals).</w:t>
      </w:r>
    </w:p>
    <w:p>
      <w:pPr>
        <w:pStyle w:val="ListParagraph"/>
        <w:numPr>
          <w:ilvl w:val="0"/>
          <w:numId w:val="2"/>
        </w:numPr>
        <w:spacing w:before="0" w:after="100"/>
      </w:pPr>
      <w:r>
        <w:rPr>
          <w:rFonts w:ascii="Times New Roman" w:cs="Times New Roman" w:eastAsia="Times New Roman" w:hAnsi="Times New Roman"/>
          <w:color w:val="111111"/>
          <w:sz w:val="24"/>
          <w:szCs w:val="24"/>
        </w:rPr>
        <w:t xml:space="preserve">Theoretical maximum: isotopically pure diamond (all-carbon, cubic Fd-3m) has thermal conductivity ~3300 W/m/K — the highest known. CCDR explains this as maximum acoustic-optical orthogonality in the face-centred cubic carbon lattice.</w:t>
      </w:r>
    </w:p>
    <w:p>
      <w:pPr>
        <w:spacing w:before="0" w:after="160" w:line="276" w:lineRule="auto"/>
        <w:ind w:firstLine="400"/>
        <w:jc w:val="both"/>
      </w:pPr>
      <w:r>
        <w:rPr>
          <w:rFonts w:ascii="Times New Roman" w:cs="Times New Roman" w:eastAsia="Times New Roman" w:hAnsi="Times New Roman"/>
          <w:b w:val="false"/>
          <w:bCs w:val="false"/>
          <w:i w:val="false"/>
          <w:iCs w:val="false"/>
          <w:color w:val="111111"/>
          <w:sz w:val="24"/>
          <w:szCs w:val="24"/>
        </w:rPr>
        <w:t xml:space="preserve">For chip thermal management: hexagonal boron nitride (hBN) grown on silicon provides both acoustic isolation of the device layer (phononic bandgap substrate) and high in-plane thermal conductivity (~400 W/m/K). The CCDR framework identifies these two properties as having the same physical origin: the large B/N mass ratio creates a large acoustic-optical gap that simultaneously suppresses cross-mode scattering (high conductivity) and provides isolation at specific frequencies (bandgap substrate).</w:t>
      </w:r>
    </w:p>
    <w:p>
      <w:pPr>
        <w:spacing w:before="320" w:after="120"/>
      </w:pPr>
      <w:r>
        <w:rPr>
          <w:rFonts w:ascii="Arial" w:cs="Arial" w:eastAsia="Arial" w:hAnsi="Arial"/>
          <w:b/>
          <w:bCs/>
          <w:caps w:val="false"/>
          <w:color w:val="065F46"/>
          <w:sz w:val="28"/>
          <w:szCs w:val="28"/>
        </w:rPr>
        <w:t xml:space="preserve">Application 3.3 — Skyrmion Lattices as Topological Quantum Memory</w:t>
      </w:r>
    </w:p>
    <w:p>
      <w:pPr>
        <w:spacing w:before="0" w:after="160" w:line="276" w:lineRule="auto"/>
        <w:ind w:firstLine="400"/>
        <w:jc w:val="both"/>
      </w:pPr>
      <w:r>
        <w:rPr>
          <w:rFonts w:ascii="Times New Roman" w:cs="Times New Roman" w:eastAsia="Times New Roman" w:hAnsi="Times New Roman"/>
          <w:b w:val="false"/>
          <w:bCs w:val="false"/>
          <w:i w:val="false"/>
          <w:iCs w:val="false"/>
          <w:color w:val="111111"/>
          <w:sz w:val="24"/>
          <w:szCs w:val="24"/>
        </w:rPr>
        <w:t xml:space="preserve">Skyrmions are topologically protected spin texture objects in magnetic materials, characterised by a non-trivial winding number and non-zero magnetic helicity H_mag = integral(A.B d^3x) =/= 0. In CCDR, this is precisely the topological condition for pinning an optical phonon mode — the same condition that creates ball lightning at macroscopic scale.</w:t>
      </w:r>
    </w:p>
    <w:p>
      <w:pPr>
        <w:spacing w:before="0" w:after="160" w:line="276" w:lineRule="auto"/>
        <w:ind w:firstLine="400"/>
        <w:jc w:val="both"/>
      </w:pPr>
      <w:r>
        <w:rPr>
          <w:rFonts w:ascii="Times New Roman" w:cs="Times New Roman" w:eastAsia="Times New Roman" w:hAnsi="Times New Roman"/>
          <w:b w:val="false"/>
          <w:bCs w:val="false"/>
          <w:i w:val="false"/>
          <w:iCs w:val="false"/>
          <w:color w:val="111111"/>
          <w:sz w:val="24"/>
          <w:szCs w:val="24"/>
        </w:rPr>
        <w:t xml:space="preserve">A skyrmion lattice material with engineered helicity texture could support localised optical phonon oscillations that are:</w:t>
      </w:r>
    </w:p>
    <w:p>
      <w:pPr>
        <w:pStyle w:val="ListParagraph"/>
        <w:numPr>
          <w:ilvl w:val="0"/>
          <w:numId w:val="2"/>
        </w:numPr>
        <w:spacing w:before="0" w:after="100"/>
      </w:pPr>
      <w:r>
        <w:rPr>
          <w:rFonts w:ascii="Times New Roman" w:cs="Times New Roman" w:eastAsia="Times New Roman" w:hAnsi="Times New Roman"/>
          <w:color w:val="111111"/>
          <w:sz w:val="24"/>
          <w:szCs w:val="24"/>
        </w:rPr>
        <w:t xml:space="preserve">Spatially localised to the skyrmion core (typically 5-100 nm diameter).</w:t>
      </w:r>
    </w:p>
    <w:p>
      <w:pPr>
        <w:pStyle w:val="ListParagraph"/>
        <w:numPr>
          <w:ilvl w:val="0"/>
          <w:numId w:val="2"/>
        </w:numPr>
        <w:spacing w:before="0" w:after="100"/>
      </w:pPr>
      <w:r>
        <w:rPr>
          <w:rFonts w:ascii="Times New Roman" w:cs="Times New Roman" w:eastAsia="Times New Roman" w:hAnsi="Times New Roman"/>
          <w:color w:val="111111"/>
          <w:sz w:val="24"/>
          <w:szCs w:val="24"/>
        </w:rPr>
        <w:t xml:space="preserve">Topologically protected against perturbations that do not change the skyrmion topology.</w:t>
      </w:r>
    </w:p>
    <w:p>
      <w:pPr>
        <w:pStyle w:val="ListParagraph"/>
        <w:numPr>
          <w:ilvl w:val="0"/>
          <w:numId w:val="2"/>
        </w:numPr>
        <w:spacing w:before="0" w:after="100"/>
      </w:pPr>
      <w:r>
        <w:rPr>
          <w:rFonts w:ascii="Times New Roman" w:cs="Times New Roman" w:eastAsia="Times New Roman" w:hAnsi="Times New Roman"/>
          <w:color w:val="111111"/>
          <w:sz w:val="24"/>
          <w:szCs w:val="24"/>
        </w:rPr>
        <w:t xml:space="preserve">Stable at room temperature (topological protection does not require cryogenic conditions — ball lightning occurs in ambient air at ~300 K).</w:t>
      </w:r>
    </w:p>
    <w:p>
      <w:pPr>
        <w:pStyle w:val="ListParagraph"/>
        <w:numPr>
          <w:ilvl w:val="0"/>
          <w:numId w:val="2"/>
        </w:numPr>
        <w:spacing w:before="0" w:after="100"/>
      </w:pPr>
      <w:r>
        <w:rPr>
          <w:rFonts w:ascii="Times New Roman" w:cs="Times New Roman" w:eastAsia="Times New Roman" w:hAnsi="Times New Roman"/>
          <w:color w:val="111111"/>
          <w:sz w:val="24"/>
          <w:szCs w:val="24"/>
        </w:rPr>
        <w:t xml:space="preserve">Readable via the electromagnetic boundary layer coupling at the nodal surface.</w:t>
      </w:r>
    </w:p>
    <w:p>
      <w:pPr>
        <w:pStyle w:val="ListParagraph"/>
        <w:numPr>
          <w:ilvl w:val="0"/>
          <w:numId w:val="2"/>
        </w:numPr>
        <w:spacing w:before="0" w:after="100"/>
      </w:pPr>
      <w:r>
        <w:rPr>
          <w:rFonts w:ascii="Times New Roman" w:cs="Times New Roman" w:eastAsia="Times New Roman" w:hAnsi="Times New Roman"/>
          <w:color w:val="111111"/>
          <w:sz w:val="24"/>
          <w:szCs w:val="24"/>
        </w:rPr>
        <w:t xml:space="preserve">Functionally equivalent to a room-temperature, non-volatile quantum memory bit.</w:t>
      </w:r>
    </w:p>
    <w:p>
      <w:pPr>
        <w:spacing w:before="240" w:after="80"/>
      </w:pPr>
      <w:r>
        <w:rPr>
          <w:rFonts w:ascii="Arial" w:cs="Arial" w:eastAsia="Arial" w:hAnsi="Arial"/>
          <w:b/>
          <w:bCs/>
          <w:i/>
          <w:iCs/>
          <w:color w:val="065F46"/>
          <w:sz w:val="23"/>
          <w:szCs w:val="23"/>
        </w:rPr>
        <w:t xml:space="preserve">Candidate materials:</w:t>
      </w:r>
    </w:p>
    <w:p>
      <w:pPr>
        <w:pStyle w:val="ListParagraph"/>
        <w:numPr>
          <w:ilvl w:val="0"/>
          <w:numId w:val="2"/>
        </w:numPr>
        <w:spacing w:before="0" w:after="100"/>
      </w:pPr>
      <w:r>
        <w:rPr>
          <w:rFonts w:ascii="Times New Roman" w:cs="Times New Roman" w:eastAsia="Times New Roman" w:hAnsi="Times New Roman"/>
          <w:color w:val="111111"/>
          <w:sz w:val="24"/>
          <w:szCs w:val="24"/>
        </w:rPr>
        <w:t xml:space="preserve">MnSi, FeGe, Co-Zn-Mn alloys: room-temperature skyrmion host materials with tunable helicity.</w:t>
      </w:r>
    </w:p>
    <w:p>
      <w:pPr>
        <w:pStyle w:val="ListParagraph"/>
        <w:numPr>
          <w:ilvl w:val="0"/>
          <w:numId w:val="2"/>
        </w:numPr>
        <w:spacing w:before="0" w:after="100"/>
      </w:pPr>
      <w:r>
        <w:rPr>
          <w:rFonts w:ascii="Times New Roman" w:cs="Times New Roman" w:eastAsia="Times New Roman" w:hAnsi="Times New Roman"/>
          <w:color w:val="111111"/>
          <w:sz w:val="24"/>
          <w:szCs w:val="24"/>
        </w:rPr>
        <w:t xml:space="preserve">Cu2OSeO3: insulating skyrmion host — eliminates Ohmic dissipation channel.</w:t>
      </w:r>
    </w:p>
    <w:p>
      <w:pPr>
        <w:pStyle w:val="ListParagraph"/>
        <w:numPr>
          <w:ilvl w:val="0"/>
          <w:numId w:val="2"/>
        </w:numPr>
        <w:spacing w:before="0" w:after="100"/>
      </w:pPr>
      <w:r>
        <w:rPr>
          <w:rFonts w:ascii="Times New Roman" w:cs="Times New Roman" w:eastAsia="Times New Roman" w:hAnsi="Times New Roman"/>
          <w:color w:val="111111"/>
          <w:sz w:val="24"/>
          <w:szCs w:val="24"/>
        </w:rPr>
        <w:t xml:space="preserve">Van der Waals magnetic heterostructures (Cr2Ge2Te6/WTe2): 2D skyrmions with twist-angle-tunable helicity.</w:t>
      </w:r>
    </w:p>
    <w:p>
      <w:pPr>
        <w:spacing w:before="0" w:after="160" w:line="276" w:lineRule="auto"/>
        <w:ind w:firstLine="400"/>
        <w:jc w:val="both"/>
      </w:pPr>
      <w:r>
        <w:rPr>
          <w:rFonts w:ascii="Times New Roman" w:cs="Times New Roman" w:eastAsia="Times New Roman" w:hAnsi="Times New Roman"/>
          <w:b w:val="false"/>
          <w:bCs w:val="false"/>
          <w:i w:val="false"/>
          <w:iCs w:val="false"/>
          <w:color w:val="111111"/>
          <w:sz w:val="24"/>
          <w:szCs w:val="24"/>
        </w:rPr>
        <w:t xml:space="preserve">The read/write mechanism — coupling to the optical phonon mode via its boundary layer electromagnetic field — requires development of near-field electromagnetic probes (already standard in NSOM/SNOM microscopy). The CCDR framework predicts that the signal strength should scale as the boundary layer electromagnetic field amplitude, which scales as the phonon mode amplitude. This is experimentally measurable.</w:t>
      </w:r>
    </w:p>
    <w:p>
      <w:pPr>
        <w:spacing w:before="80" w:after="0"/>
      </w:pP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360"/>
      </w:tblGrid>
      <w:tr>
        <w:tc>
          <w:tcPr>
            <w:tcW w:type="dxa" w:w="2000"/>
            <w:tcBorders>
              <w:top w:val="single" w:color="065F46" w:sz="4"/>
              <w:left w:val="single" w:color="065F46" w:sz="4"/>
              <w:bottom w:val="single" w:color="065F46" w:sz="4"/>
              <w:right w:val="single" w:color="065F46" w:sz="4"/>
            </w:tcBorders>
            <w:shd w:fill="DBEAFE" w:val="clear"/>
            <w:tcMar>
              <w:top w:type="dxa" w:w="80"/>
              <w:left w:type="dxa" w:w="120"/>
              <w:bottom w:type="dxa" w:w="80"/>
              <w:right w:type="dxa" w:w="120"/>
            </w:tcMar>
          </w:tcPr>
          <w:p>
            <w:r>
              <w:rPr>
                <w:rFonts w:ascii="Arial" w:cs="Arial" w:eastAsia="Arial" w:hAnsi="Arial"/>
                <w:b/>
                <w:bCs/>
                <w:color w:val="0D1B40"/>
                <w:sz w:val="19"/>
                <w:szCs w:val="19"/>
              </w:rPr>
              <w:t xml:space="preserve">Material Class</w:t>
            </w:r>
          </w:p>
        </w:tc>
        <w:tc>
          <w:tcPr>
            <w:tcW w:type="dxa" w:w="2400"/>
            <w:tcBorders>
              <w:top w:val="single" w:color="065F46" w:sz="4"/>
              <w:left w:val="single" w:color="065F46" w:sz="4"/>
              <w:bottom w:val="single" w:color="065F46" w:sz="4"/>
              <w:right w:val="single" w:color="065F46" w:sz="4"/>
            </w:tcBorders>
            <w:shd w:fill="DBEAFE" w:val="clear"/>
            <w:tcMar>
              <w:top w:type="dxa" w:w="80"/>
              <w:left w:type="dxa" w:w="120"/>
              <w:bottom w:type="dxa" w:w="80"/>
              <w:right w:type="dxa" w:w="120"/>
            </w:tcMar>
          </w:tcPr>
          <w:p>
            <w:r>
              <w:rPr>
                <w:rFonts w:ascii="Arial" w:cs="Arial" w:eastAsia="Arial" w:hAnsi="Arial"/>
                <w:b/>
                <w:bCs/>
                <w:color w:val="0D1B40"/>
                <w:sz w:val="19"/>
                <w:szCs w:val="19"/>
              </w:rPr>
              <w:t xml:space="preserve">CCDR Design Principle</w:t>
            </w:r>
          </w:p>
        </w:tc>
        <w:tc>
          <w:tcPr>
            <w:tcW w:type="dxa" w:w="2400"/>
            <w:tcBorders>
              <w:top w:val="single" w:color="065F46" w:sz="4"/>
              <w:left w:val="single" w:color="065F46" w:sz="4"/>
              <w:bottom w:val="single" w:color="065F46" w:sz="4"/>
              <w:right w:val="single" w:color="065F46" w:sz="4"/>
            </w:tcBorders>
            <w:shd w:fill="DBEAFE" w:val="clear"/>
            <w:tcMar>
              <w:top w:type="dxa" w:w="80"/>
              <w:left w:type="dxa" w:w="120"/>
              <w:bottom w:type="dxa" w:w="80"/>
              <w:right w:type="dxa" w:w="120"/>
            </w:tcMar>
          </w:tcPr>
          <w:p>
            <w:r>
              <w:rPr>
                <w:rFonts w:ascii="Arial" w:cs="Arial" w:eastAsia="Arial" w:hAnsi="Arial"/>
                <w:b/>
                <w:bCs/>
                <w:color w:val="0D1B40"/>
                <w:sz w:val="19"/>
                <w:szCs w:val="19"/>
              </w:rPr>
              <w:t xml:space="preserve">Target Property</w:t>
            </w:r>
          </w:p>
        </w:tc>
        <w:tc>
          <w:tcPr>
            <w:tcW w:type="dxa" w:w="2360"/>
            <w:tcBorders>
              <w:top w:val="single" w:color="065F46" w:sz="4"/>
              <w:left w:val="single" w:color="065F46" w:sz="4"/>
              <w:bottom w:val="single" w:color="065F46" w:sz="4"/>
              <w:right w:val="single" w:color="065F46" w:sz="4"/>
            </w:tcBorders>
            <w:shd w:fill="DBEAFE" w:val="clear"/>
            <w:tcMar>
              <w:top w:type="dxa" w:w="80"/>
              <w:left w:type="dxa" w:w="120"/>
              <w:bottom w:type="dxa" w:w="80"/>
              <w:right w:type="dxa" w:w="120"/>
            </w:tcMar>
          </w:tcPr>
          <w:p>
            <w:r>
              <w:rPr>
                <w:rFonts w:ascii="Arial" w:cs="Arial" w:eastAsia="Arial" w:hAnsi="Arial"/>
                <w:b/>
                <w:bCs/>
                <w:color w:val="0D1B40"/>
                <w:sz w:val="19"/>
                <w:szCs w:val="19"/>
              </w:rPr>
              <w:t xml:space="preserve">Application</w:t>
            </w:r>
          </w:p>
        </w:tc>
      </w:tr>
      <w:tr>
        <w:tc>
          <w:tcPr>
            <w:tcW w:type="dxa" w:w="2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color w:val="111111"/>
                <w:sz w:val="19"/>
                <w:szCs w:val="19"/>
              </w:rPr>
              <w:t xml:space="preserve">Phononic crystal substrates</w:t>
            </w:r>
          </w:p>
        </w:tc>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color w:val="111111"/>
                <w:sz w:val="19"/>
                <w:szCs w:val="19"/>
              </w:rPr>
              <w:t xml:space="preserve">Complete acoustic bandgap at qubit frequency</w:t>
            </w:r>
          </w:p>
        </w:tc>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color w:val="111111"/>
                <w:sz w:val="19"/>
                <w:szCs w:val="19"/>
              </w:rPr>
              <w:t xml:space="preserve">rho_phonon(omega) = 0 in gap</w:t>
            </w:r>
          </w:p>
        </w:tc>
        <w:tc>
          <w:tcPr>
            <w:tcW w:type="dxa" w:w="23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color w:val="111111"/>
                <w:sz w:val="19"/>
                <w:szCs w:val="19"/>
              </w:rPr>
              <w:t xml:space="preserve">Qubit decoherence suppression</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111111"/>
                <w:sz w:val="19"/>
                <w:szCs w:val="19"/>
              </w:rPr>
              <w:t xml:space="preserve">Isotopically pure diamond</w:t>
            </w:r>
          </w:p>
        </w:tc>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111111"/>
                <w:sz w:val="19"/>
                <w:szCs w:val="19"/>
              </w:rPr>
              <w:t xml:space="preserve">Acoustic-optical mode orthogonality</w:t>
            </w:r>
          </w:p>
        </w:tc>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111111"/>
                <w:sz w:val="19"/>
                <w:szCs w:val="19"/>
              </w:rPr>
              <w:t xml:space="preserve">Max thermal conductivity ~2200 W/m/K</w:t>
            </w:r>
          </w:p>
        </w:tc>
        <w:tc>
          <w:tcPr>
            <w:tcW w:type="dxa" w:w="23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111111"/>
                <w:sz w:val="19"/>
                <w:szCs w:val="19"/>
              </w:rPr>
              <w:t xml:space="preserve">Chip thermal management</w:t>
            </w:r>
          </w:p>
        </w:tc>
      </w:tr>
      <w:tr>
        <w:tc>
          <w:tcPr>
            <w:tcW w:type="dxa" w:w="2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color w:val="111111"/>
                <w:sz w:val="19"/>
                <w:szCs w:val="19"/>
              </w:rPr>
              <w:t xml:space="preserve">Hexagonal boron nitride</w:t>
            </w:r>
          </w:p>
        </w:tc>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color w:val="111111"/>
                <w:sz w:val="19"/>
                <w:szCs w:val="19"/>
              </w:rPr>
              <w:t xml:space="preserve">High symmetry + large B/N mass ratio</w:t>
            </w:r>
          </w:p>
        </w:tc>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color w:val="111111"/>
                <w:sz w:val="19"/>
                <w:szCs w:val="19"/>
              </w:rPr>
              <w:t xml:space="preserve">Clean optical phonon gap; acoustic isolation</w:t>
            </w:r>
          </w:p>
        </w:tc>
        <w:tc>
          <w:tcPr>
            <w:tcW w:type="dxa" w:w="23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color w:val="111111"/>
                <w:sz w:val="19"/>
                <w:szCs w:val="19"/>
              </w:rPr>
              <w:t xml:space="preserve">2D qubit substrate</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111111"/>
                <w:sz w:val="19"/>
                <w:szCs w:val="19"/>
              </w:rPr>
              <w:t xml:space="preserve">Kibble-processed alloys</w:t>
            </w:r>
          </w:p>
        </w:tc>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111111"/>
                <w:sz w:val="19"/>
                <w:szCs w:val="19"/>
              </w:rPr>
              <w:t xml:space="preserve">Zurek-Kibble cooling profile</w:t>
            </w:r>
          </w:p>
        </w:tc>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111111"/>
                <w:sz w:val="19"/>
                <w:szCs w:val="19"/>
              </w:rPr>
              <w:t xml:space="preserve">Minimum grain boundary defect density</w:t>
            </w:r>
          </w:p>
        </w:tc>
        <w:tc>
          <w:tcPr>
            <w:tcW w:type="dxa" w:w="23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111111"/>
                <w:sz w:val="19"/>
                <w:szCs w:val="19"/>
              </w:rPr>
              <w:t xml:space="preserve">High-strength structural metals</w:t>
            </w:r>
          </w:p>
        </w:tc>
      </w:tr>
      <w:tr>
        <w:tc>
          <w:tcPr>
            <w:tcW w:type="dxa" w:w="2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color w:val="111111"/>
                <w:sz w:val="19"/>
                <w:szCs w:val="19"/>
              </w:rPr>
              <w:t xml:space="preserve">Skyrmion lattice materials</w:t>
            </w:r>
          </w:p>
        </w:tc>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color w:val="111111"/>
                <w:sz w:val="19"/>
                <w:szCs w:val="19"/>
              </w:rPr>
              <w:t xml:space="preserve">Controlled H_mag in spin texture</w:t>
            </w:r>
          </w:p>
        </w:tc>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color w:val="111111"/>
                <w:sz w:val="19"/>
                <w:szCs w:val="19"/>
              </w:rPr>
              <w:t xml:space="preserve">Room-T topologically stable dark-sector bit</w:t>
            </w:r>
          </w:p>
        </w:tc>
        <w:tc>
          <w:tcPr>
            <w:tcW w:type="dxa" w:w="23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color w:val="111111"/>
                <w:sz w:val="19"/>
                <w:szCs w:val="19"/>
              </w:rPr>
              <w:t xml:space="preserve">Non-volatile quantum memory</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111111"/>
                <w:sz w:val="19"/>
                <w:szCs w:val="19"/>
              </w:rPr>
              <w:t xml:space="preserve">Moire superlattices</w:t>
            </w:r>
          </w:p>
        </w:tc>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111111"/>
                <w:sz w:val="19"/>
                <w:szCs w:val="19"/>
              </w:rPr>
              <w:t xml:space="preserve">Twist-angle-tunable phononic bandgap</w:t>
            </w:r>
          </w:p>
        </w:tc>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111111"/>
                <w:sz w:val="19"/>
                <w:szCs w:val="19"/>
              </w:rPr>
              <w:t xml:space="preserve">Bandgap at target qubit frequency</w:t>
            </w:r>
          </w:p>
        </w:tc>
        <w:tc>
          <w:tcPr>
            <w:tcW w:type="dxa" w:w="23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111111"/>
                <w:sz w:val="19"/>
                <w:szCs w:val="19"/>
              </w:rPr>
              <w:t xml:space="preserve">Tunable qubit substrate</w:t>
            </w:r>
          </w:p>
        </w:tc>
      </w:tr>
    </w:tbl>
    <w:p>
      <w:pPr>
        <w:spacing w:before="0" w:after="160" w:line="276" w:lineRule="auto"/>
        <w:ind/>
        <w:jc w:val="center"/>
      </w:pPr>
      <w:r>
        <w:rPr>
          <w:rFonts w:ascii="Times New Roman" w:cs="Times New Roman" w:eastAsia="Times New Roman" w:hAnsi="Times New Roman"/>
          <w:b w:val="false"/>
          <w:bCs w:val="false"/>
          <w:i/>
          <w:iCs/>
          <w:color w:val="4B5563"/>
          <w:sz w:val="20"/>
          <w:szCs w:val="20"/>
        </w:rPr>
        <w:t xml:space="preserve">Table 4. CCDR-motivated material design strategies with design principles, target properties, and applications.</w:t>
      </w:r>
    </w:p>
    <w:p>
      <w:pPr>
        <w:pBdr>
          <w:bottom w:val="single" w:color="CBD5E1" w:sz="6" w:space="1"/>
        </w:pBdr>
        <w:spacing w:before="160" w:after="160"/>
      </w:pPr>
    </w:p>
    <w:p>
      <w:pPr>
        <w:shd w:fill="0D1B40" w:val="clear"/>
        <w:spacing w:before="320" w:after="200"/>
      </w:pPr>
      <w:r>
        <w:rPr>
          <w:rFonts w:ascii="Arial" w:cs="Arial" w:eastAsia="Arial" w:hAnsi="Arial"/>
          <w:b/>
          <w:bCs/>
          <w:caps/>
          <w:color w:val="FFFFFF"/>
          <w:spacing w:val="80"/>
          <w:sz w:val="28"/>
          <w:szCs w:val="28"/>
        </w:rPr>
        <w:t xml:space="preserve">  IV. The Unified Design Principle  </w:t>
      </w:r>
    </w:p>
    <w:p>
      <w:pPr>
        <w:spacing w:before="320" w:after="120"/>
      </w:pPr>
      <w:r>
        <w:rPr>
          <w:rFonts w:ascii="Arial" w:cs="Arial" w:eastAsia="Arial" w:hAnsi="Arial"/>
          <w:b/>
          <w:bCs/>
          <w:caps w:val="false"/>
          <w:color w:val="1E3A8A"/>
          <w:sz w:val="28"/>
          <w:szCs w:val="28"/>
        </w:rPr>
        <w:t xml:space="preserve">The Acoustic-Optical Phonon Sector Boundary</w:t>
      </w:r>
    </w:p>
    <w:p>
      <w:pPr>
        <w:spacing w:before="0" w:after="160" w:line="276" w:lineRule="auto"/>
        <w:ind w:firstLine="400"/>
        <w:jc w:val="both"/>
      </w:pPr>
      <w:r>
        <w:rPr>
          <w:rFonts w:ascii="Times New Roman" w:cs="Times New Roman" w:eastAsia="Times New Roman" w:hAnsi="Times New Roman"/>
          <w:b w:val="false"/>
          <w:bCs w:val="false"/>
          <w:i w:val="false"/>
          <w:iCs w:val="false"/>
          <w:color w:val="111111"/>
          <w:sz w:val="24"/>
          <w:szCs w:val="24"/>
        </w:rPr>
        <w:t xml:space="preserve">Across all three technology domains, CCDR points to the same engineering territory: the boundary between the acoustic phonon sector (Standard Model matter, visible, electromagnetically interacting) and the optical phonon sector (dark matter, gravitationally interacting, orthogonal to all Standard Model forces).</w:t>
      </w:r>
    </w:p>
    <w:p>
      <w:pPr>
        <w:spacing w:before="0" w:after="160" w:line="276" w:lineRule="auto"/>
        <w:ind w:firstLine="400"/>
        <w:jc w:val="both"/>
      </w:pPr>
      <w:r>
        <w:rPr>
          <w:rFonts w:ascii="Times New Roman" w:cs="Times New Roman" w:eastAsia="Times New Roman" w:hAnsi="Times New Roman"/>
          <w:b w:val="false"/>
          <w:bCs w:val="false"/>
          <w:i w:val="false"/>
          <w:iCs w:val="false"/>
          <w:color w:val="111111"/>
          <w:sz w:val="24"/>
          <w:szCs w:val="24"/>
        </w:rPr>
        <w:t xml:space="preserve">Standard engineering operates entirely within the acoustic sector. All conventional devices — transistors, plasma confinement systems, optical fibres — are acoustic phonon machines. Their performance limits are set by acoustic phonon scattering, acoustic mode mixing, and acoustic decoherence.</w:t>
      </w:r>
    </w:p>
    <w:p>
      <w:pPr>
        <w:spacing w:before="0" w:after="160" w:line="276" w:lineRule="auto"/>
        <w:ind w:firstLine="400"/>
        <w:jc w:val="both"/>
      </w:pPr>
      <w:r>
        <w:rPr>
          <w:rFonts w:ascii="Times New Roman" w:cs="Times New Roman" w:eastAsia="Times New Roman" w:hAnsi="Times New Roman"/>
          <w:b w:val="false"/>
          <w:bCs w:val="false"/>
          <w:i w:val="false"/>
          <w:iCs w:val="false"/>
          <w:color w:val="111111"/>
          <w:sz w:val="24"/>
          <w:szCs w:val="24"/>
        </w:rPr>
        <w:t xml:space="preserve">CCDR identifies a qualitatively different operating regime: devices that are engineered at the sector boundary, using topological electromagnetic field configurations (magnetic helicity) to couple controlled acoustic excitations to the orthogonal optical sector. At this boundary:</w:t>
      </w:r>
    </w:p>
    <w:p>
      <w:pPr>
        <w:pStyle w:val="ListParagraph"/>
        <w:numPr>
          <w:ilvl w:val="0"/>
          <w:numId w:val="2"/>
        </w:numPr>
        <w:spacing w:before="0" w:after="100"/>
      </w:pPr>
      <w:r>
        <w:rPr>
          <w:rFonts w:ascii="Times New Roman" w:cs="Times New Roman" w:eastAsia="Times New Roman" w:hAnsi="Times New Roman"/>
          <w:color w:val="111111"/>
          <w:sz w:val="24"/>
          <w:szCs w:val="24"/>
        </w:rPr>
        <w:t xml:space="preserve">Viscosity reaches its minimum (KSS bound) — relevant for fusion and fluid dynamics.</w:t>
      </w:r>
    </w:p>
    <w:p>
      <w:pPr>
        <w:pStyle w:val="ListParagraph"/>
        <w:numPr>
          <w:ilvl w:val="0"/>
          <w:numId w:val="2"/>
        </w:numPr>
        <w:spacing w:before="0" w:after="100"/>
      </w:pPr>
      <w:r>
        <w:rPr>
          <w:rFonts w:ascii="Times New Roman" w:cs="Times New Roman" w:eastAsia="Times New Roman" w:hAnsi="Times New Roman"/>
          <w:color w:val="111111"/>
          <w:sz w:val="24"/>
          <w:szCs w:val="24"/>
        </w:rPr>
        <w:t xml:space="preserve">Decoherence is suppressed to its theoretical minimum — relevant for quantum computing.</w:t>
      </w:r>
    </w:p>
    <w:p>
      <w:pPr>
        <w:pStyle w:val="ListParagraph"/>
        <w:numPr>
          <w:ilvl w:val="0"/>
          <w:numId w:val="2"/>
        </w:numPr>
        <w:spacing w:before="0" w:after="100"/>
      </w:pPr>
      <w:r>
        <w:rPr>
          <w:rFonts w:ascii="Times New Roman" w:cs="Times New Roman" w:eastAsia="Times New Roman" w:hAnsi="Times New Roman"/>
          <w:color w:val="111111"/>
          <w:sz w:val="24"/>
          <w:szCs w:val="24"/>
        </w:rPr>
        <w:t xml:space="preserve">Thermal transport is maximised — relevant for materials and energy systems.</w:t>
      </w:r>
    </w:p>
    <w:p>
      <w:pPr>
        <w:pStyle w:val="ListParagraph"/>
        <w:numPr>
          <w:ilvl w:val="0"/>
          <w:numId w:val="2"/>
        </w:numPr>
        <w:spacing w:before="0" w:after="100"/>
      </w:pPr>
      <w:r>
        <w:rPr>
          <w:rFonts w:ascii="Times New Roman" w:cs="Times New Roman" w:eastAsia="Times New Roman" w:hAnsi="Times New Roman"/>
          <w:color w:val="111111"/>
          <w:sz w:val="24"/>
          <w:szCs w:val="24"/>
        </w:rPr>
        <w:t xml:space="preserve">Topological protection is exact — relevant for memory and error correction.</w:t>
      </w:r>
    </w:p>
    <w:p>
      <w:pPr>
        <w:spacing w:before="320" w:after="120"/>
      </w:pPr>
      <w:r>
        <w:rPr>
          <w:rFonts w:ascii="Arial" w:cs="Arial" w:eastAsia="Arial" w:hAnsi="Arial"/>
          <w:b/>
          <w:bCs/>
          <w:caps w:val="false"/>
          <w:color w:val="1E3A8A"/>
          <w:sz w:val="28"/>
          <w:szCs w:val="28"/>
        </w:rPr>
        <w:t xml:space="preserve">The Engineering Programme</w:t>
      </w:r>
    </w:p>
    <w:p>
      <w:pPr>
        <w:spacing w:before="0" w:after="160" w:line="276" w:lineRule="auto"/>
        <w:ind w:firstLine="400"/>
        <w:jc w:val="both"/>
      </w:pPr>
      <w:r>
        <w:rPr>
          <w:rFonts w:ascii="Times New Roman" w:cs="Times New Roman" w:eastAsia="Times New Roman" w:hAnsi="Times New Roman"/>
          <w:b w:val="false"/>
          <w:bCs w:val="false"/>
          <w:i w:val="false"/>
          <w:iCs w:val="false"/>
          <w:color w:val="111111"/>
          <w:sz w:val="24"/>
          <w:szCs w:val="24"/>
        </w:rPr>
        <w:t xml:space="preserve">The practical engineering programme CCDR suggests has three phases:</w:t>
      </w:r>
    </w:p>
    <w:p>
      <w:pPr>
        <w:spacing w:before="240" w:after="80"/>
      </w:pPr>
      <w:r>
        <w:rPr>
          <w:rFonts w:ascii="Arial" w:cs="Arial" w:eastAsia="Arial" w:hAnsi="Arial"/>
          <w:b/>
          <w:bCs/>
          <w:i/>
          <w:iCs/>
          <w:color w:val="1E3A8A"/>
          <w:sz w:val="23"/>
          <w:szCs w:val="23"/>
        </w:rPr>
        <w:t xml:space="preserve">Phase 1 — Exploit acoustic sector engineering (near-term, 5-10 years):</w:t>
      </w:r>
    </w:p>
    <w:p>
      <w:pPr>
        <w:pStyle w:val="ListParagraph"/>
        <w:numPr>
          <w:ilvl w:val="0"/>
          <w:numId w:val="2"/>
        </w:numPr>
        <w:spacing w:before="0" w:after="100"/>
      </w:pPr>
      <w:r>
        <w:rPr>
          <w:rFonts w:ascii="Times New Roman" w:cs="Times New Roman" w:eastAsia="Times New Roman" w:hAnsi="Times New Roman"/>
          <w:color w:val="111111"/>
          <w:sz w:val="24"/>
          <w:szCs w:val="24"/>
        </w:rPr>
        <w:t xml:space="preserve">Phononic crystal substrates for superconducting qubits (T1 &gt; 1 ms target).</w:t>
      </w:r>
    </w:p>
    <w:p>
      <w:pPr>
        <w:pStyle w:val="ListParagraph"/>
        <w:numPr>
          <w:ilvl w:val="0"/>
          <w:numId w:val="2"/>
        </w:numPr>
        <w:spacing w:before="0" w:after="100"/>
      </w:pPr>
      <w:r>
        <w:rPr>
          <w:rFonts w:ascii="Times New Roman" w:cs="Times New Roman" w:eastAsia="Times New Roman" w:hAnsi="Times New Roman"/>
          <w:color w:val="111111"/>
          <w:sz w:val="24"/>
          <w:szCs w:val="24"/>
        </w:rPr>
        <w:t xml:space="preserve">Kibble-Zurek optimal cooling profiles for alloy and semiconductor processing.</w:t>
      </w:r>
    </w:p>
    <w:p>
      <w:pPr>
        <w:pStyle w:val="ListParagraph"/>
        <w:numPr>
          <w:ilvl w:val="0"/>
          <w:numId w:val="2"/>
        </w:numPr>
        <w:spacing w:before="0" w:after="100"/>
      </w:pPr>
      <w:r>
        <w:rPr>
          <w:rFonts w:ascii="Times New Roman" w:cs="Times New Roman" w:eastAsia="Times New Roman" w:hAnsi="Times New Roman"/>
          <w:color w:val="111111"/>
          <w:sz w:val="24"/>
          <w:szCs w:val="24"/>
        </w:rPr>
        <w:t xml:space="preserve">KSS-bound tracking as a fusion plasma quality metric.</w:t>
      </w:r>
    </w:p>
    <w:p>
      <w:pPr>
        <w:pStyle w:val="ListParagraph"/>
        <w:numPr>
          <w:ilvl w:val="0"/>
          <w:numId w:val="2"/>
        </w:numPr>
        <w:spacing w:before="0" w:after="100"/>
      </w:pPr>
      <w:r>
        <w:rPr>
          <w:rFonts w:ascii="Times New Roman" w:cs="Times New Roman" w:eastAsia="Times New Roman" w:hAnsi="Times New Roman"/>
          <w:color w:val="111111"/>
          <w:sz w:val="24"/>
          <w:szCs w:val="24"/>
        </w:rPr>
        <w:t xml:space="preserve">Acoustic-optical gap engineering for thermal management materials.</w:t>
      </w:r>
    </w:p>
    <w:p>
      <w:pPr>
        <w:spacing w:before="240" w:after="80"/>
      </w:pPr>
      <w:r>
        <w:rPr>
          <w:rFonts w:ascii="Arial" w:cs="Arial" w:eastAsia="Arial" w:hAnsi="Arial"/>
          <w:b/>
          <w:bCs/>
          <w:i/>
          <w:iCs/>
          <w:color w:val="1E3A8A"/>
          <w:sz w:val="23"/>
          <w:szCs w:val="23"/>
        </w:rPr>
        <w:t xml:space="preserve">Phase 2 — Engineer the sector boundary (medium-term, 10-20 years):</w:t>
      </w:r>
    </w:p>
    <w:p>
      <w:pPr>
        <w:pStyle w:val="ListParagraph"/>
        <w:numPr>
          <w:ilvl w:val="0"/>
          <w:numId w:val="2"/>
        </w:numPr>
        <w:spacing w:before="0" w:after="100"/>
      </w:pPr>
      <w:r>
        <w:rPr>
          <w:rFonts w:ascii="Times New Roman" w:cs="Times New Roman" w:eastAsia="Times New Roman" w:hAnsi="Times New Roman"/>
          <w:color w:val="111111"/>
          <w:sz w:val="24"/>
          <w:szCs w:val="24"/>
        </w:rPr>
        <w:t xml:space="preserve">Magnetic helicity optimisation for ELM suppression in ITER and future devices.</w:t>
      </w:r>
    </w:p>
    <w:p>
      <w:pPr>
        <w:pStyle w:val="ListParagraph"/>
        <w:numPr>
          <w:ilvl w:val="0"/>
          <w:numId w:val="2"/>
        </w:numPr>
        <w:spacing w:before="0" w:after="100"/>
      </w:pPr>
      <w:r>
        <w:rPr>
          <w:rFonts w:ascii="Times New Roman" w:cs="Times New Roman" w:eastAsia="Times New Roman" w:hAnsi="Times New Roman"/>
          <w:color w:val="111111"/>
          <w:sz w:val="24"/>
          <w:szCs w:val="24"/>
        </w:rPr>
        <w:t xml:space="preserve">DTC phase qubits with intrinsic error correction in 100+ qubit arrays.</w:t>
      </w:r>
    </w:p>
    <w:p>
      <w:pPr>
        <w:pStyle w:val="ListParagraph"/>
        <w:numPr>
          <w:ilvl w:val="0"/>
          <w:numId w:val="2"/>
        </w:numPr>
        <w:spacing w:before="0" w:after="100"/>
      </w:pPr>
      <w:r>
        <w:rPr>
          <w:rFonts w:ascii="Times New Roman" w:cs="Times New Roman" w:eastAsia="Times New Roman" w:hAnsi="Times New Roman"/>
          <w:color w:val="111111"/>
          <w:sz w:val="24"/>
          <w:szCs w:val="24"/>
        </w:rPr>
        <w:t xml:space="preserve">Skyrmion lattice materials with designed helicity for topological memory elements.</w:t>
      </w:r>
    </w:p>
    <w:p>
      <w:pPr>
        <w:pStyle w:val="ListParagraph"/>
        <w:numPr>
          <w:ilvl w:val="0"/>
          <w:numId w:val="2"/>
        </w:numPr>
        <w:spacing w:before="0" w:after="100"/>
      </w:pPr>
      <w:r>
        <w:rPr>
          <w:rFonts w:ascii="Times New Roman" w:cs="Times New Roman" w:eastAsia="Times New Roman" w:hAnsi="Times New Roman"/>
          <w:color w:val="111111"/>
          <w:sz w:val="24"/>
          <w:szCs w:val="24"/>
        </w:rPr>
        <w:t xml:space="preserve">Room-temperature topologically protected quantum bits in magnetic heterostructures.</w:t>
      </w:r>
    </w:p>
    <w:p>
      <w:pPr>
        <w:spacing w:before="240" w:after="80"/>
      </w:pPr>
      <w:r>
        <w:rPr>
          <w:rFonts w:ascii="Arial" w:cs="Arial" w:eastAsia="Arial" w:hAnsi="Arial"/>
          <w:b/>
          <w:bCs/>
          <w:i/>
          <w:iCs/>
          <w:color w:val="1E3A8A"/>
          <w:sz w:val="23"/>
          <w:szCs w:val="23"/>
        </w:rPr>
        <w:t xml:space="preserve">Phase 3 — Access the optical sector (long-term, 20+ years):</w:t>
      </w:r>
    </w:p>
    <w:p>
      <w:pPr>
        <w:pStyle w:val="ListParagraph"/>
        <w:numPr>
          <w:ilvl w:val="0"/>
          <w:numId w:val="2"/>
        </w:numPr>
        <w:spacing w:before="0" w:after="100"/>
      </w:pPr>
      <w:r>
        <w:rPr>
          <w:rFonts w:ascii="Times New Roman" w:cs="Times New Roman" w:eastAsia="Times New Roman" w:hAnsi="Times New Roman"/>
          <w:color w:val="111111"/>
          <w:sz w:val="24"/>
          <w:szCs w:val="24"/>
        </w:rPr>
        <w:t xml:space="preserve">Dark-sector qubit: topological electromagnetic defect pinning of optical phonon modes in high-symmetry crystal lattices.</w:t>
      </w:r>
    </w:p>
    <w:p>
      <w:pPr>
        <w:pStyle w:val="ListParagraph"/>
        <w:numPr>
          <w:ilvl w:val="0"/>
          <w:numId w:val="2"/>
        </w:numPr>
        <w:spacing w:before="0" w:after="100"/>
      </w:pPr>
      <w:r>
        <w:rPr>
          <w:rFonts w:ascii="Times New Roman" w:cs="Times New Roman" w:eastAsia="Times New Roman" w:hAnsi="Times New Roman"/>
          <w:color w:val="111111"/>
          <w:sz w:val="24"/>
          <w:szCs w:val="24"/>
        </w:rPr>
        <w:t xml:space="preserve">Near-zero decoherence quantum processors operating at the de Sitter background temperature floor.</w:t>
      </w:r>
    </w:p>
    <w:p>
      <w:pPr>
        <w:pStyle w:val="ListParagraph"/>
        <w:numPr>
          <w:ilvl w:val="0"/>
          <w:numId w:val="2"/>
        </w:numPr>
        <w:spacing w:before="0" w:after="100"/>
      </w:pPr>
      <w:r>
        <w:rPr>
          <w:rFonts w:ascii="Times New Roman" w:cs="Times New Roman" w:eastAsia="Times New Roman" w:hAnsi="Times New Roman"/>
          <w:color w:val="111111"/>
          <w:sz w:val="24"/>
          <w:szCs w:val="24"/>
        </w:rPr>
        <w:t xml:space="preserve">Controlled optical phonon mode read/write via boundary layer electromagnetic coupling.</w:t>
      </w:r>
    </w:p>
    <w:p>
      <w:pPr>
        <w:pStyle w:val="ListParagraph"/>
        <w:numPr>
          <w:ilvl w:val="0"/>
          <w:numId w:val="2"/>
        </w:numPr>
        <w:spacing w:before="0" w:after="100"/>
      </w:pPr>
      <w:r>
        <w:rPr>
          <w:rFonts w:ascii="Times New Roman" w:cs="Times New Roman" w:eastAsia="Times New Roman" w:hAnsi="Times New Roman"/>
          <w:color w:val="111111"/>
          <w:sz w:val="24"/>
          <w:szCs w:val="24"/>
        </w:rPr>
        <w:t xml:space="preserve">Plasma confinement approaching the KSS viscosity bound (M_KSS -&gt; 1).</w:t>
      </w:r>
    </w:p>
    <w:p>
      <w:pPr>
        <w:spacing w:before="320" w:after="120"/>
      </w:pPr>
      <w:r>
        <w:rPr>
          <w:rFonts w:ascii="Arial" w:cs="Arial" w:eastAsia="Arial" w:hAnsi="Arial"/>
          <w:b/>
          <w:bCs/>
          <w:caps w:val="false"/>
          <w:color w:val="1E3A8A"/>
          <w:sz w:val="28"/>
          <w:szCs w:val="28"/>
        </w:rPr>
        <w:t xml:space="preserve">Measurable Predictions</w:t>
      </w:r>
    </w:p>
    <w:p>
      <w:pPr>
        <w:spacing w:before="0" w:after="160" w:line="276" w:lineRule="auto"/>
        <w:ind w:firstLine="400"/>
        <w:jc w:val="both"/>
      </w:pPr>
      <w:r>
        <w:rPr>
          <w:rFonts w:ascii="Times New Roman" w:cs="Times New Roman" w:eastAsia="Times New Roman" w:hAnsi="Times New Roman"/>
          <w:b w:val="false"/>
          <w:bCs w:val="false"/>
          <w:i w:val="false"/>
          <w:iCs w:val="false"/>
          <w:color w:val="111111"/>
          <w:sz w:val="24"/>
          <w:szCs w:val="24"/>
        </w:rPr>
        <w:t xml:space="preserve">Each application generates quantitative, near-term measurable predictions that distinguish CCDR from existing frameworks:</w:t>
      </w:r>
    </w:p>
    <w:p>
      <w:pPr>
        <w:pStyle w:val="ListParagraph"/>
        <w:numPr>
          <w:ilvl w:val="0"/>
          <w:numId w:val="2"/>
        </w:numPr>
        <w:spacing w:before="0" w:after="100"/>
      </w:pPr>
      <w:r>
        <w:rPr>
          <w:rFonts w:ascii="Times New Roman" w:cs="Times New Roman" w:eastAsia="Times New Roman" w:hAnsi="Times New Roman"/>
          <w:color w:val="111111"/>
          <w:sz w:val="24"/>
          <w:szCs w:val="24"/>
        </w:rPr>
        <w:t xml:space="preserve">M_KSS (fusion): eta/s in tokamak edge plasma, measured via turbulent transport analysis, should decrease monotonically with improved confinement geometry toward eta_KSS ~ 10^-12 Pa*s.</w:t>
      </w:r>
    </w:p>
    <w:p>
      <w:pPr>
        <w:pStyle w:val="ListParagraph"/>
        <w:numPr>
          <w:ilvl w:val="0"/>
          <w:numId w:val="2"/>
        </w:numPr>
        <w:spacing w:before="0" w:after="100"/>
      </w:pPr>
      <w:r>
        <w:rPr>
          <w:rFonts w:ascii="Times New Roman" w:cs="Times New Roman" w:eastAsia="Times New Roman" w:hAnsi="Times New Roman"/>
          <w:color w:val="111111"/>
          <w:sz w:val="24"/>
          <w:szCs w:val="24"/>
        </w:rPr>
        <w:t xml:space="preserve">ELM frequency (fusion): should correlate with computed H_mag at the separatrix with coefficient derivable from CCDR, independent of q-profile resonance effects.</w:t>
      </w:r>
    </w:p>
    <w:p>
      <w:pPr>
        <w:pStyle w:val="ListParagraph"/>
        <w:numPr>
          <w:ilvl w:val="0"/>
          <w:numId w:val="2"/>
        </w:numPr>
        <w:spacing w:before="0" w:after="100"/>
      </w:pPr>
      <w:r>
        <w:rPr>
          <w:rFonts w:ascii="Times New Roman" w:cs="Times New Roman" w:eastAsia="Times New Roman" w:hAnsi="Times New Roman"/>
          <w:color w:val="111111"/>
          <w:sz w:val="24"/>
          <w:szCs w:val="24"/>
        </w:rPr>
        <w:t xml:space="preserve">T1 (qubit): phononic crystal substrates should extend T1 superlinearly with bandgap completeness, with a saturation plateau set by non-phononic decoherence channels.</w:t>
      </w:r>
    </w:p>
    <w:p>
      <w:pPr>
        <w:pStyle w:val="ListParagraph"/>
        <w:numPr>
          <w:ilvl w:val="0"/>
          <w:numId w:val="2"/>
        </w:numPr>
        <w:spacing w:before="0" w:after="100"/>
      </w:pPr>
      <w:r>
        <w:rPr>
          <w:rFonts w:ascii="Times New Roman" w:cs="Times New Roman" w:eastAsia="Times New Roman" w:hAnsi="Times New Roman"/>
          <w:color w:val="111111"/>
          <w:sz w:val="24"/>
          <w:szCs w:val="24"/>
        </w:rPr>
        <w:t xml:space="preserve">Grain size (alloys): Kibble-Zurek optimal cooling should produce grain size distribution xi(tau_Q) following the theoretical scaling, testable via EBSD mapping of cooled samples.</w:t>
      </w:r>
    </w:p>
    <w:p>
      <w:pPr>
        <w:pStyle w:val="ListParagraph"/>
        <w:numPr>
          <w:ilvl w:val="0"/>
          <w:numId w:val="2"/>
        </w:numPr>
        <w:spacing w:before="0" w:after="100"/>
      </w:pPr>
      <w:r>
        <w:rPr>
          <w:rFonts w:ascii="Times New Roman" w:cs="Times New Roman" w:eastAsia="Times New Roman" w:hAnsi="Times New Roman"/>
          <w:color w:val="111111"/>
          <w:sz w:val="24"/>
          <w:szCs w:val="24"/>
        </w:rPr>
        <w:t xml:space="preserve">Thermal conductivity (hBN/diamond): isotopically purified samples should approach the theoretical maximum set by acoustic-optical orthogonality, measurable via time-domain thermoreflectance.</w:t>
      </w:r>
    </w:p>
    <w:p>
      <w:pPr>
        <w:pBdr>
          <w:bottom w:val="single" w:color="CBD5E1" w:sz="6" w:space="1"/>
        </w:pBdr>
        <w:spacing w:before="160" w:after="160"/>
      </w:pPr>
    </w:p>
    <w:p>
      <w:pPr>
        <w:spacing w:before="480" w:after="120"/>
      </w:pPr>
      <w:r>
        <w:rPr>
          <w:rFonts w:ascii="Arial" w:cs="Arial" w:eastAsia="Arial" w:hAnsi="Arial"/>
          <w:b/>
          <w:bCs/>
          <w:caps/>
          <w:color w:val="0D1B40"/>
          <w:spacing w:val="60"/>
          <w:sz w:val="36"/>
          <w:szCs w:val="36"/>
        </w:rPr>
        <w:t xml:space="preserve">Conclusion</w:t>
      </w:r>
    </w:p>
    <w:p>
      <w:pPr>
        <w:spacing w:before="0" w:after="160" w:line="276" w:lineRule="auto"/>
        <w:ind w:firstLine="400"/>
        <w:jc w:val="both"/>
      </w:pPr>
      <w:r>
        <w:rPr>
          <w:rFonts w:ascii="Times New Roman" w:cs="Times New Roman" w:eastAsia="Times New Roman" w:hAnsi="Times New Roman"/>
          <w:b w:val="false"/>
          <w:bCs w:val="false"/>
          <w:i w:val="false"/>
          <w:iCs w:val="false"/>
          <w:color w:val="111111"/>
          <w:sz w:val="24"/>
          <w:szCs w:val="24"/>
        </w:rPr>
        <w:t xml:space="preserve">CCDR provides a unified theoretical framework that connects cosmological phase transition physics to practical engineering at the scale of fusion reactors, quantum computers, and advanced materials. The framework does not merely describe the universe — it prescribes engineering targets that follow from the same equations governing large-scale structure, dark matter, and the time crystal oscillation of the cosmological ground state.</w:t>
      </w:r>
    </w:p>
    <w:p>
      <w:pPr>
        <w:spacing w:before="0" w:after="160" w:line="276" w:lineRule="auto"/>
        <w:ind w:firstLine="400"/>
        <w:jc w:val="both"/>
      </w:pPr>
      <w:r>
        <w:rPr>
          <w:rFonts w:ascii="Times New Roman" w:cs="Times New Roman" w:eastAsia="Times New Roman" w:hAnsi="Times New Roman"/>
          <w:b w:val="false"/>
          <w:bCs w:val="false"/>
          <w:i w:val="false"/>
          <w:iCs w:val="false"/>
          <w:color w:val="111111"/>
          <w:sz w:val="24"/>
          <w:szCs w:val="24"/>
        </w:rPr>
        <w:t xml:space="preserve">The central prediction of CCDR engineering is that the boundary between the acoustic and optical phonon sectors of the cosmological crystal — the boundary between the visible and dark sectors of nature — is where the most valuable engineering territory lies. Learning to operate at and across this boundary is the technological programme that CCDR makes visible for the first time.</w:t>
      </w:r>
    </w:p>
    <w:p>
      <w:pPr>
        <w:spacing w:before="0" w:after="160" w:line="276" w:lineRule="auto"/>
        <w:ind w:firstLine="400"/>
        <w:jc w:val="both"/>
      </w:pPr>
      <w:r>
        <w:rPr>
          <w:rFonts w:ascii="Times New Roman" w:cs="Times New Roman" w:eastAsia="Times New Roman" w:hAnsi="Times New Roman"/>
          <w:b w:val="false"/>
          <w:bCs w:val="false"/>
          <w:i w:val="false"/>
          <w:iCs w:val="false"/>
          <w:color w:val="111111"/>
          <w:sz w:val="24"/>
          <w:szCs w:val="24"/>
        </w:rPr>
        <w:t xml:space="preserve">Ball lightning has been touching this boundary for as long as there have been thunderstorms. The engineering challenge is to do it deliberately.</w:t>
      </w:r>
    </w:p>
    <w:p>
      <w:pPr>
        <w:pBdr>
          <w:bottom w:val="single" w:color="CBD5E1" w:sz="6" w:space="1"/>
        </w:pBdr>
        <w:spacing w:before="160" w:after="160"/>
      </w:pPr>
    </w:p>
    <w:p>
      <w:pPr>
        <w:spacing w:before="0" w:after="160" w:line="276" w:lineRule="auto"/>
        <w:ind/>
        <w:jc w:val="both"/>
      </w:pPr>
      <w:r>
        <w:rPr>
          <w:rFonts w:ascii="Times New Roman" w:cs="Times New Roman" w:eastAsia="Times New Roman" w:hAnsi="Times New Roman"/>
          <w:b w:val="false"/>
          <w:bCs w:val="false"/>
          <w:i/>
          <w:iCs/>
          <w:color w:val="4B5563"/>
          <w:sz w:val="20"/>
          <w:szCs w:val="20"/>
        </w:rPr>
        <w:t xml:space="preserve">Companion articles: CCDR v4 English/Ukrainian (theoretical framework, 15 sections, 54 references, 8 predictions).</w:t>
      </w:r>
    </w:p>
    <w:p>
      <w:pPr>
        <w:spacing w:before="0" w:after="160" w:line="276" w:lineRule="auto"/>
        <w:ind/>
        <w:jc w:val="both"/>
      </w:pPr>
      <w:r>
        <w:rPr>
          <w:rFonts w:ascii="Times New Roman" w:cs="Times New Roman" w:eastAsia="Times New Roman" w:hAnsi="Times New Roman"/>
          <w:b w:val="false"/>
          <w:bCs w:val="false"/>
          <w:i/>
          <w:iCs/>
          <w:color w:val="4B5563"/>
          <w:sz w:val="20"/>
          <w:szCs w:val="20"/>
        </w:rPr>
        <w:t xml:space="preserve">Transcripts I-VII available as supplementary material.</w:t>
      </w:r>
    </w:p>
    <w:p>
      <w:pPr>
        <w:spacing w:before="240" w:after="0"/>
      </w:pP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11111"/>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20"/>
      <w:outlineLvl w:val="0"/>
    </w:pPr>
    <w:rPr>
      <w:rFonts w:ascii="Arial" w:cs="Arial" w:eastAsia="Arial" w:hAnsi="Arial"/>
      <w:b/>
      <w:bCs/>
      <w:sz w:val="36"/>
      <w:szCs w:val="36"/>
    </w:rPr>
  </w:style>
  <w:style w:type="paragraph" w:styleId="Heading2">
    <w:name w:val="Heading 2"/>
    <w:basedOn w:val="Normal"/>
    <w:next w:val="Normal"/>
    <w:qFormat/>
    <w:pPr>
      <w:spacing w:before="320" w:after="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2026-03-10T16:14:00.074Z</dcterms:created>
  <dcterms:modified xsi:type="dcterms:W3CDTF">2026-03-10T16:14:00.075Z</dcterms:modified>
</cp:coreProperties>
</file>

<file path=docProps/custom.xml><?xml version="1.0" encoding="utf-8"?>
<Properties xmlns="http://schemas.openxmlformats.org/officeDocument/2006/custom-properties" xmlns:vt="http://schemas.openxmlformats.org/officeDocument/2006/docPropsVTypes"/>
</file>