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7910D">
      <w:pPr>
        <w:spacing w:before="0" w:after="120"/>
        <w:jc w:val="center"/>
      </w:pPr>
      <w:r>
        <w:rPr>
          <w:rFonts w:ascii="Arial" w:hAnsi="Arial" w:eastAsia="Arial" w:cs="Arial"/>
          <w:b/>
          <w:bCs/>
          <w:color w:val="1A1A2E"/>
          <w:sz w:val="36"/>
          <w:szCs w:val="36"/>
        </w:rPr>
        <w:t>Crystallographic Cosmology from Dimensional Reduction:</w:t>
      </w:r>
    </w:p>
    <w:p w14:paraId="31A752DA">
      <w:pPr>
        <w:spacing w:before="0" w:after="240"/>
        <w:jc w:val="center"/>
      </w:pPr>
      <w:r>
        <w:rPr>
          <w:rFonts w:ascii="Arial" w:hAnsi="Arial" w:eastAsia="Arial" w:cs="Arial"/>
          <w:b w:val="0"/>
          <w:bCs w:val="0"/>
          <w:i/>
          <w:iCs/>
          <w:color w:val="2C3A6B"/>
          <w:sz w:val="30"/>
          <w:szCs w:val="30"/>
        </w:rPr>
        <w:t>Large-Scale Structure as the Grain Morphology of a Higher-Dimensional Phase Transition</w:t>
      </w:r>
    </w:p>
    <w:p w14:paraId="3444B87D">
      <w:pPr>
        <w:spacing w:before="0" w:after="60"/>
        <w:jc w:val="center"/>
        <w:rPr>
          <w:rFonts w:hint="default" w:ascii="Arial" w:hAnsi="Arial" w:eastAsia="Arial" w:cs="Arial"/>
          <w:i/>
          <w:iCs/>
          <w:color w:val="718096"/>
          <w:sz w:val="22"/>
          <w:szCs w:val="22"/>
          <w:lang w:val="en-GB"/>
        </w:rPr>
      </w:pPr>
      <w:r>
        <w:rPr>
          <w:rFonts w:hint="default" w:ascii="Arial" w:hAnsi="Arial" w:eastAsia="Arial" w:cs="Arial"/>
          <w:i/>
          <w:iCs/>
          <w:color w:val="718096"/>
          <w:sz w:val="22"/>
          <w:szCs w:val="22"/>
          <w:lang w:val="en-GB"/>
        </w:rPr>
        <w:t>Rakovskyi Dmytro</w:t>
      </w:r>
    </w:p>
    <w:p w14:paraId="475C1E7E">
      <w:pPr>
        <w:spacing w:before="0" w:after="60"/>
        <w:jc w:val="center"/>
      </w:pPr>
      <w:r>
        <w:rPr>
          <w:rFonts w:ascii="Arial" w:hAnsi="Arial" w:eastAsia="Arial" w:cs="Arial"/>
          <w:i/>
          <w:iCs/>
          <w:color w:val="718096"/>
          <w:sz w:val="22"/>
          <w:szCs w:val="22"/>
        </w:rPr>
        <w:t>[Institutional affiliations withheld for double-blind review]</w:t>
      </w:r>
    </w:p>
    <w:p w14:paraId="0318830A">
      <w:pPr>
        <w:spacing w:before="0" w:after="60"/>
        <w:jc w:val="center"/>
        <w:rPr>
          <w:rFonts w:hint="default"/>
          <w:lang w:val="en-GB"/>
        </w:rPr>
      </w:pPr>
      <w:r>
        <w:rPr>
          <w:rFonts w:ascii="Arial" w:hAnsi="Arial" w:eastAsia="Arial" w:cs="Arial"/>
          <w:i/>
          <w:iCs/>
          <w:color w:val="718096"/>
          <w:sz w:val="22"/>
          <w:szCs w:val="22"/>
        </w:rPr>
        <w:t xml:space="preserve">Correspondence: </w:t>
      </w:r>
      <w:r>
        <w:rPr>
          <w:rFonts w:hint="default" w:ascii="Arial" w:hAnsi="Arial" w:eastAsia="Arial" w:cs="Arial"/>
          <w:i/>
          <w:iCs/>
          <w:color w:val="718096"/>
          <w:sz w:val="22"/>
          <w:szCs w:val="22"/>
          <w:lang w:val="en-GB"/>
        </w:rPr>
        <w:t>rakovpublic@gmail.com</w:t>
      </w:r>
      <w:bookmarkStart w:id="0" w:name="_GoBack"/>
      <w:bookmarkEnd w:id="0"/>
    </w:p>
    <w:p w14:paraId="5C70C2B0">
      <w:pPr>
        <w:spacing w:before="0" w:after="60"/>
        <w:jc w:val="center"/>
      </w:pPr>
      <w:r>
        <w:rPr>
          <w:rFonts w:ascii="Arial" w:hAnsi="Arial" w:eastAsia="Arial" w:cs="Arial"/>
          <w:color w:val="718096"/>
          <w:sz w:val="22"/>
          <w:szCs w:val="22"/>
        </w:rPr>
        <w:t>Submitted: March 2026</w:t>
      </w:r>
    </w:p>
    <w:p w14:paraId="60A6E417">
      <w:pPr>
        <w:pBdr>
          <w:bottom w:val="single" w:color="CCCCCC" w:sz="4" w:space="1"/>
        </w:pBdr>
        <w:spacing w:before="160" w:after="160"/>
      </w:pPr>
    </w:p>
    <w:p w14:paraId="5480C4A2">
      <w:pPr>
        <w:spacing w:before="0" w:after="60"/>
      </w:pPr>
      <w:r>
        <w:rPr>
          <w:rFonts w:ascii="Arial" w:hAnsi="Arial" w:eastAsia="Arial" w:cs="Arial"/>
          <w:b/>
          <w:bCs/>
          <w:color w:val="1A1A2E"/>
          <w:sz w:val="22"/>
          <w:szCs w:val="22"/>
        </w:rPr>
        <w:t xml:space="preserve">Keywords: </w:t>
      </w:r>
      <w:r>
        <w:rPr>
          <w:rFonts w:ascii="Arial" w:hAnsi="Arial" w:eastAsia="Arial" w:cs="Arial"/>
          <w:i/>
          <w:iCs/>
          <w:color w:val="4A5568"/>
          <w:sz w:val="22"/>
          <w:szCs w:val="22"/>
        </w:rPr>
        <w:t>large-scale structure; baryon acoustic oscillations; dimensional reduction; topological defects; brane cosmology; Kibble mechanism; running vacuum model; crystallographic analogy; cosmic web morphology; sub-quantum mechanics</w:t>
      </w:r>
    </w:p>
    <w:p w14:paraId="0662E63F">
      <w:pPr>
        <w:spacing w:before="0" w:after="0"/>
      </w:pPr>
      <w:r>
        <w:rPr>
          <w:rFonts w:ascii="Arial" w:hAnsi="Arial" w:eastAsia="Arial" w:cs="Arial"/>
          <w:b/>
          <w:bCs/>
          <w:color w:val="1A1A2E"/>
          <w:sz w:val="22"/>
          <w:szCs w:val="22"/>
        </w:rPr>
        <w:t xml:space="preserve">PACS: </w:t>
      </w:r>
      <w:r>
        <w:rPr>
          <w:rFonts w:ascii="Arial" w:hAnsi="Arial" w:eastAsia="Arial" w:cs="Arial"/>
          <w:color w:val="4A5568"/>
          <w:sz w:val="22"/>
          <w:szCs w:val="22"/>
        </w:rPr>
        <w:t>98.80.-k, 98.65.Dx, 11.25.Mj, 11.27.+d, 64.60.Bd</w:t>
      </w:r>
    </w:p>
    <w:p w14:paraId="1B825824">
      <w:pPr>
        <w:pBdr>
          <w:bottom w:val="single" w:color="CCCCCC" w:sz="4" w:space="1"/>
        </w:pBdr>
        <w:spacing w:before="160" w:after="160"/>
      </w:pPr>
    </w:p>
    <w:p w14:paraId="447D7912">
      <w:pPr>
        <w:spacing w:before="0" w:after="120"/>
        <w:jc w:val="center"/>
      </w:pPr>
      <w:r>
        <w:rPr>
          <w:rFonts w:ascii="Arial" w:hAnsi="Arial" w:eastAsia="Arial" w:cs="Arial"/>
          <w:b/>
          <w:bCs/>
          <w:caps/>
          <w:color w:val="1A1A2E"/>
          <w:spacing w:val="80"/>
          <w:sz w:val="24"/>
          <w:szCs w:val="24"/>
        </w:rPr>
        <w:t>ABSTRACT</w:t>
      </w:r>
    </w:p>
    <w:p w14:paraId="5CB3605A">
      <w:pPr>
        <w:spacing w:before="0" w:after="200" w:line="264" w:lineRule="auto"/>
        <w:ind w:left="720" w:right="720"/>
        <w:jc w:val="both"/>
      </w:pPr>
      <w:r>
        <w:rPr>
          <w:rFonts w:ascii="Times New Roman" w:hAnsi="Times New Roman" w:eastAsia="Times New Roman" w:cs="Times New Roman"/>
          <w:color w:val="000000"/>
          <w:sz w:val="22"/>
          <w:szCs w:val="22"/>
        </w:rPr>
        <w:t>We propose a theoretical framework, which we term crystallographic cosmology from dimensional reduction (CCDR), in which the observed morphology of the cosmic web arises as the grain structure of a phase transition occurring in a higher-dimensional embedding space. The central analogy is precise and formal: the post-inflationary universe is a supersaturated medium that undergoes symmetry-breaking nucleation at sites determined by topological defects in the higher-dimensional bulk, producing a lattice-like condensate whose preferred spacing is the baryon acoustic oscillation (BAO) scale r* ≈ 147 Mpc. We demonstrate that the three necessary conditions for crystal growth — a supersaturated medium, nucleation triggers, and a characteristic interaction length — are each satisfied by known cosmological physics: the cooling Running Vacuum Model (RVM) vacuum provides the supersaturation; higher-dimensional brane intersections or topological defects provide nucleation sites that project into the three-dimensional slice as cosmic string-like seeds; and the sound horizon at recombination provides the lattice constant. The framework unifies previously disparate observations: the BAO peak in galaxy correlation functions corresponds to a Bragg diffraction peak from a cosmological crystal lattice; filamentary and wall-like structures correspond to grain boundaries formed via the Kibble mechanism; and cluster nodes correspond to triple-junction dislocations. We further show that quantum mechanical statistics, usually treated as axiomatic, may emerge naturally as the phonon statistics of this lattice when observed from within a single unit cell. The framework makes three classes of testable predictions: (i) non-Gaussian signatures in the matter power spectrum at sub-BAO scales reflecting grain boundary topology; (ii) a preferred orientational correlation of filament axes over super-horizon distances, analogous to crystal texture; and (iii) a systematic shift in the effective BAO scale with redshift at the level δr*/r* ∼ ν/2 ∼ 5 × 10⁻⁴, where ν is the RVM running parameter, testable with DESI DR3/DR4 data. We situate the framework within existing programmes including brane cosmology, holographic duality, causal dynamical triangulations, and stochastic mechanics, and identify the open problems required to elevate CCDR from a structural analogy to a quantitative theory.</w:t>
      </w:r>
    </w:p>
    <w:p w14:paraId="6A8F2F3F">
      <w:pPr>
        <w:pBdr>
          <w:bottom w:val="single" w:color="CCCCCC" w:sz="4" w:space="1"/>
        </w:pBdr>
        <w:spacing w:before="160" w:after="160"/>
      </w:pPr>
    </w:p>
    <w:p w14:paraId="2E5FEC83">
      <w:pPr>
        <w:spacing w:before="360" w:after="120"/>
      </w:pPr>
      <w:r>
        <w:rPr>
          <w:rFonts w:ascii="Arial" w:hAnsi="Arial" w:eastAsia="Arial" w:cs="Arial"/>
          <w:b/>
          <w:bCs/>
          <w:color w:val="1A1A2E"/>
          <w:sz w:val="24"/>
          <w:szCs w:val="24"/>
        </w:rPr>
        <w:t>1. INTRODUCTION</w:t>
      </w:r>
    </w:p>
    <w:p w14:paraId="73007F55">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large-scale structure of the universe presents one of the most striking visual regularities in nature: a cosmic web of filaments, walls, voids, and cluster nodes spanning hundreds of megaparsecs, exhibiting a spatial periodicity anchored at the baryon acoustic oscillation (BAO) scale r* ≈ 147 Mpc [1,2]. This scale, imprinted at the epoch of hydrogen recombination when the photon-baryon plasma decoupled and its sound horizon froze, appears as a statistically preferred separation in galaxy pair correlation functions [3–7] and constitutes the most precisely measured standard ruler in observational cosmology [8].</w:t>
      </w:r>
    </w:p>
    <w:p w14:paraId="52A1D3B4">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morphological character of the cosmic web has long invited comparisons to condensed matter systems — particularly the grain structure of polycrystalline materials. Bond, Kofman and Pogosyan [9] noted that the web topology resembles a soap-bubble foam, and subsequent topological analyses [10,11] have confirmed the quantitative similarity. Yet these comparisons have remained phenomenological: the cosmic web is treated as the outcome of gravitational instability acting on primordial density fluctuations seeded by inflation, and the analogy to crystalline materials serves as illustration rather than explanation.</w:t>
      </w:r>
    </w:p>
    <w:p w14:paraId="672F6F2F">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In this paper we propose that the crystallographic analogy is not merely illustrative but mechanistically exact. We develop a framework, crystallographic cosmology from dimensional reduction (CCDR), in which:</w:t>
      </w:r>
    </w:p>
    <w:p w14:paraId="0B703637">
      <w:pPr>
        <w:spacing w:before="0" w:after="160" w:line="276" w:lineRule="auto"/>
        <w:jc w:val="both"/>
      </w:pPr>
      <w:r>
        <w:rPr>
          <w:rFonts w:ascii="Times New Roman" w:hAnsi="Times New Roman" w:eastAsia="Times New Roman" w:cs="Times New Roman"/>
          <w:b w:val="0"/>
          <w:bCs w:val="0"/>
          <w:i w:val="0"/>
          <w:iCs w:val="0"/>
          <w:color w:val="000000"/>
          <w:sz w:val="24"/>
          <w:szCs w:val="24"/>
        </w:rPr>
        <w:t>(a) The post-inflationary universe constitutes a thermodynamically supersaturated medium, whose cooling is governed by the running vacuum model (RVM) equation ρvac(H) = C₀ + νm²H²/M²pl + αH⁴/H²I [12,13];</w:t>
      </w:r>
    </w:p>
    <w:p w14:paraId="6FDBD4BC">
      <w:pPr>
        <w:spacing w:before="0" w:after="160" w:line="276" w:lineRule="auto"/>
        <w:jc w:val="both"/>
      </w:pPr>
      <w:r>
        <w:rPr>
          <w:rFonts w:ascii="Times New Roman" w:hAnsi="Times New Roman" w:eastAsia="Times New Roman" w:cs="Times New Roman"/>
          <w:b w:val="0"/>
          <w:bCs w:val="0"/>
          <w:i w:val="0"/>
          <w:iCs w:val="0"/>
          <w:color w:val="000000"/>
          <w:sz w:val="24"/>
          <w:szCs w:val="24"/>
        </w:rPr>
        <w:t>(b) Nucleation sites for cosmic structure are provided by topological defects formed in a higher-dimensional phase transition, which project onto the observable 3+1 dimensional brane as string-like or point-like density enhancements [14,15];</w:t>
      </w:r>
    </w:p>
    <w:p w14:paraId="259C4D0E">
      <w:pPr>
        <w:spacing w:before="0" w:after="160" w:line="276" w:lineRule="auto"/>
        <w:jc w:val="both"/>
      </w:pPr>
      <w:r>
        <w:rPr>
          <w:rFonts w:ascii="Times New Roman" w:hAnsi="Times New Roman" w:eastAsia="Times New Roman" w:cs="Times New Roman"/>
          <w:b w:val="0"/>
          <w:bCs w:val="0"/>
          <w:i w:val="0"/>
          <w:iCs w:val="0"/>
          <w:color w:val="000000"/>
          <w:sz w:val="24"/>
          <w:szCs w:val="24"/>
        </w:rPr>
        <w:t>(c) The BAO scale r* plays the role of a crystallographic lattice constant, set by the thermal length scale of the cooling vacuum at last scattering [1,7];</w:t>
      </w:r>
    </w:p>
    <w:p w14:paraId="1ADAB8A1">
      <w:pPr>
        <w:spacing w:before="0" w:after="160" w:line="276" w:lineRule="auto"/>
        <w:jc w:val="both"/>
      </w:pPr>
      <w:r>
        <w:rPr>
          <w:rFonts w:ascii="Times New Roman" w:hAnsi="Times New Roman" w:eastAsia="Times New Roman" w:cs="Times New Roman"/>
          <w:b w:val="0"/>
          <w:bCs w:val="0"/>
          <w:i w:val="0"/>
          <w:iCs w:val="0"/>
          <w:color w:val="000000"/>
          <w:sz w:val="24"/>
          <w:szCs w:val="24"/>
        </w:rPr>
        <w:t>(d) The Kibble mechanism of topological defect formation [16] provides a universal description of both laboratory crystal grain formation and cosmic web filament formation, with the same mathematical formalism governing both.</w:t>
      </w:r>
    </w:p>
    <w:p w14:paraId="7FCBFD94">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framework has three additional consequences that we develop in turn. First, it provides a natural account of why quantum mechanical statistics appear fundamental: they arise as the phonon statistics of the crystalline lattice, observed from within a single unit cell — a consequence of dimensional projection rather than an axiomatic postulate. Second, it suggests that the RVM running parameter ν ~ 10⁻³ should produce a measurable systematic shift in the effective BAO scale with redshift, offering a concrete observational test with current-generation surveys. Third, it predicts orientational correlations in filament axes over super-horizon distances, analogous to crystallographic texture, which would constitute a new class of cosmological signal.</w:t>
      </w:r>
    </w:p>
    <w:p w14:paraId="58A8D7A0">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paper is organized as follows. Section 2 reviews the relevant observational phenomenology of the cosmic web and BAO measurements. Section 3 develops the thermodynamic analogy between the cooling RVM vacuum and a supersaturated crystallising medium. Section 4 presents the higher-dimensional nucleation mechanism. Section 5 formalises the dimensional projection and its consequences for quantum statistics. Section 6 derives the observational predictions. Section 7 situates CCDR within the landscape of existing theoretical programmes. Section 8 discusses limitations and open problems. Section 9 concludes.</w:t>
      </w:r>
    </w:p>
    <w:p w14:paraId="229A058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Throughout, we use natural units c = ħ = kB = 1 except where explicitly restored for clarity. Cosmological parameters are taken from Planck 2018 [8]: H₀ = 67.4 km s⁻¹ Mpc⁻¹, Ωm = 0.315, ΩΛ = 0.685.</w:t>
      </w:r>
    </w:p>
    <w:p w14:paraId="7D325F3A">
      <w:pPr>
        <w:spacing w:before="360" w:after="120"/>
      </w:pPr>
      <w:r>
        <w:rPr>
          <w:rFonts w:ascii="Arial" w:hAnsi="Arial" w:eastAsia="Arial" w:cs="Arial"/>
          <w:b/>
          <w:bCs/>
          <w:color w:val="1A1A2E"/>
          <w:sz w:val="24"/>
          <w:szCs w:val="24"/>
        </w:rPr>
        <w:t>2. OBSERVATIONAL CONTEXT: THE COSMIC WEB AS A STRUCTURED LATTICE</w:t>
      </w:r>
    </w:p>
    <w:p w14:paraId="2417BDED">
      <w:pPr>
        <w:spacing w:before="240" w:after="80"/>
      </w:pPr>
      <w:r>
        <w:rPr>
          <w:rFonts w:ascii="Arial" w:hAnsi="Arial" w:eastAsia="Arial" w:cs="Arial"/>
          <w:b/>
          <w:bCs/>
          <w:i/>
          <w:iCs/>
          <w:color w:val="2C3A6B"/>
          <w:sz w:val="24"/>
          <w:szCs w:val="24"/>
        </w:rPr>
        <w:t>2.1 The BAO Scale as a Lattice Constant</w:t>
      </w:r>
    </w:p>
    <w:p w14:paraId="7110378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BAO feature arises from acoustic oscillations in the coupled photon-baryon fluid prior to recombination. At the epoch of last scattering (z* ≈ 1089, t* ≈ 380,000 yr), the sound horizon freezes at a comoving scale:</w:t>
      </w:r>
    </w:p>
    <w:p w14:paraId="5325C155">
      <w:pPr>
        <w:spacing w:before="120" w:after="120"/>
        <w:jc w:val="center"/>
      </w:pPr>
      <w:r>
        <w:rPr>
          <w:rFonts w:ascii="Courier New" w:hAnsi="Courier New" w:eastAsia="Courier New" w:cs="Courier New"/>
          <w:color w:val="1A1A2E"/>
          <w:sz w:val="22"/>
          <w:szCs w:val="22"/>
        </w:rPr>
        <w:t>r* = ∫₀^t* cs / a(t) dt ≈ 147.09 ± 0.26 Mpc   [DESI DR2, 2025]</w:t>
      </w:r>
      <w:r>
        <w:rPr>
          <w:rFonts w:ascii="Times New Roman" w:hAnsi="Times New Roman" w:eastAsia="Times New Roman" w:cs="Times New Roman"/>
          <w:color w:val="4A5568"/>
          <w:sz w:val="22"/>
          <w:szCs w:val="22"/>
        </w:rPr>
        <w:t xml:space="preserve">   (1)</w:t>
      </w:r>
    </w:p>
    <w:p w14:paraId="7003D71D">
      <w:pPr>
        <w:spacing w:before="0" w:after="160" w:line="276" w:lineRule="auto"/>
        <w:jc w:val="both"/>
      </w:pPr>
      <w:r>
        <w:rPr>
          <w:rFonts w:ascii="Times New Roman" w:hAnsi="Times New Roman" w:eastAsia="Times New Roman" w:cs="Times New Roman"/>
          <w:b w:val="0"/>
          <w:bCs w:val="0"/>
          <w:i w:val="0"/>
          <w:iCs w:val="0"/>
          <w:color w:val="000000"/>
          <w:sz w:val="24"/>
          <w:szCs w:val="24"/>
        </w:rPr>
        <w:t>This scale appears as an excess in the two-point correlation function ξ(r) at r ≈ r* [3,4,7] and as a series of harmonic peaks in the matter power spectrum P(k) at wavenumbers kn = nπ/r* [5,6]. From the perspective of CCDR, this is formally identical to the Bragg condition for constructive interference from a crystal with lattice spacing d = r*:</w:t>
      </w:r>
    </w:p>
    <w:p w14:paraId="6F3F6FC9">
      <w:pPr>
        <w:spacing w:before="120" w:after="120"/>
        <w:jc w:val="center"/>
      </w:pPr>
      <w:r>
        <w:rPr>
          <w:rFonts w:ascii="Courier New" w:hAnsi="Courier New" w:eastAsia="Courier New" w:cs="Courier New"/>
          <w:color w:val="1A1A2E"/>
          <w:sz w:val="22"/>
          <w:szCs w:val="22"/>
        </w:rPr>
        <w:t>2d sinθ = nλ    ⇔    2r* sinθ = nλ_eff</w:t>
      </w:r>
      <w:r>
        <w:rPr>
          <w:rFonts w:ascii="Times New Roman" w:hAnsi="Times New Roman" w:eastAsia="Times New Roman" w:cs="Times New Roman"/>
          <w:color w:val="4A5568"/>
          <w:sz w:val="22"/>
          <w:szCs w:val="22"/>
        </w:rPr>
        <w:t xml:space="preserve">   (2)</w:t>
      </w:r>
    </w:p>
    <w:p w14:paraId="6CB68EE7">
      <w:pPr>
        <w:spacing w:before="0" w:after="160" w:line="276" w:lineRule="auto"/>
        <w:jc w:val="both"/>
      </w:pPr>
      <w:r>
        <w:rPr>
          <w:rFonts w:ascii="Times New Roman" w:hAnsi="Times New Roman" w:eastAsia="Times New Roman" w:cs="Times New Roman"/>
          <w:b w:val="0"/>
          <w:bCs w:val="0"/>
          <w:i w:val="0"/>
          <w:iCs w:val="0"/>
          <w:color w:val="000000"/>
          <w:sz w:val="24"/>
          <w:szCs w:val="24"/>
        </w:rPr>
        <w:t>where λ_eff is the effective wavelength of a density perturbation mode. The harmonic series of BAO peaks in P(k) is the cosmological analogue of Bragg diffraction peaks in X-ray crystallography.</w:t>
      </w:r>
    </w:p>
    <w:p w14:paraId="513DFC1B">
      <w:pPr>
        <w:spacing w:before="240" w:after="80"/>
      </w:pPr>
      <w:r>
        <w:rPr>
          <w:rFonts w:ascii="Arial" w:hAnsi="Arial" w:eastAsia="Arial" w:cs="Arial"/>
          <w:b/>
          <w:bCs/>
          <w:i/>
          <w:iCs/>
          <w:color w:val="2C3A6B"/>
          <w:sz w:val="24"/>
          <w:szCs w:val="24"/>
        </w:rPr>
        <w:t>2.2 Cosmic Web Morphology and Grain Structure</w:t>
      </w:r>
    </w:p>
    <w:p w14:paraId="7D2DC2F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topological classification of the cosmic web into filaments (1-dimensional ridges of the density field), walls (2-dimensional sheets), voids (3-dimensional underdense regions), and nodes (0-dimensional maxima) has been established through multiple methods: the NEXUS+ algorithm [10], the T-web and V-web procedures [11], and persistence-based topological data analysis [23]. The resulting morphological statistics — genus curves, Betti numbers, and Minkowski functionals — quantitatively resemble those of polycrystalline grain structures [24].</w:t>
      </w:r>
    </w:p>
    <w:p w14:paraId="0DD72952">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In particular, three morphological features map precisely onto crystal analogues:</w:t>
      </w:r>
    </w:p>
    <w:p w14:paraId="2EE19874">
      <w:pPr>
        <w:spacing w:before="0" w:after="160" w:line="276" w:lineRule="auto"/>
        <w:jc w:val="both"/>
      </w:pPr>
      <w:r>
        <w:rPr>
          <w:rFonts w:ascii="Times New Roman" w:hAnsi="Times New Roman" w:eastAsia="Times New Roman" w:cs="Times New Roman"/>
          <w:b w:val="0"/>
          <w:bCs w:val="0"/>
          <w:i w:val="0"/>
          <w:iCs w:val="0"/>
          <w:color w:val="000000"/>
          <w:sz w:val="24"/>
          <w:szCs w:val="24"/>
        </w:rPr>
        <w:t>Nodes (galaxy clusters at filament intersections) correspond to triple junctions in a polycrystalline grain structure, where three or more grain boundaries meet. Triple junctions in crystals are energy minima that resist dissolution; equivalently, cluster nodes are the gravitationally deepest points in the cosmic web and are the last structures to be disrupted by dark energy expansion.</w:t>
      </w:r>
    </w:p>
    <w:p w14:paraId="24520CC7">
      <w:pPr>
        <w:spacing w:before="0" w:after="160" w:line="276" w:lineRule="auto"/>
        <w:jc w:val="both"/>
      </w:pPr>
      <w:r>
        <w:rPr>
          <w:rFonts w:ascii="Times New Roman" w:hAnsi="Times New Roman" w:eastAsia="Times New Roman" w:cs="Times New Roman"/>
          <w:b w:val="0"/>
          <w:bCs w:val="0"/>
          <w:i w:val="0"/>
          <w:iCs w:val="0"/>
          <w:color w:val="000000"/>
          <w:sz w:val="24"/>
          <w:szCs w:val="24"/>
        </w:rPr>
        <w:t>Filaments and walls correspond to grain boundaries — the surfaces of misalignment between adjacent crystalline domains. In the cosmic web, filaments mark the boundaries between adjacent void regions, just as grain boundaries mark the interfaces between domains of different crystallographic orientation.</w:t>
      </w:r>
    </w:p>
    <w:p w14:paraId="0CEE84EC">
      <w:pPr>
        <w:spacing w:before="0" w:after="160" w:line="276" w:lineRule="auto"/>
        <w:jc w:val="both"/>
      </w:pPr>
      <w:r>
        <w:rPr>
          <w:rFonts w:ascii="Times New Roman" w:hAnsi="Times New Roman" w:eastAsia="Times New Roman" w:cs="Times New Roman"/>
          <w:b w:val="0"/>
          <w:bCs w:val="0"/>
          <w:i w:val="0"/>
          <w:iCs w:val="0"/>
          <w:color w:val="000000"/>
          <w:sz w:val="24"/>
          <w:szCs w:val="24"/>
        </w:rPr>
        <w:t>Voids correspond to grains themselves — the underdense interior regions bounded by filamentary walls. The void size distribution, which follows a modified Press-Schechter function [25], is analogous to the grain size distribution in a polycrystal, which follows a log-normal or Weibull distribution depending on the nucleation kinetics [26].</w:t>
      </w:r>
    </w:p>
    <w:p w14:paraId="1481A2B8">
      <w:pPr>
        <w:spacing w:before="360" w:after="120"/>
      </w:pPr>
      <w:r>
        <w:rPr>
          <w:rFonts w:ascii="Arial" w:hAnsi="Arial" w:eastAsia="Arial" w:cs="Arial"/>
          <w:b/>
          <w:bCs/>
          <w:color w:val="1A1A2E"/>
          <w:sz w:val="24"/>
          <w:szCs w:val="24"/>
        </w:rPr>
        <w:t>3. THE COOLING VACUUM AS A SUPERSATURATED CRYSTALLISING MEDIUM</w:t>
      </w:r>
    </w:p>
    <w:p w14:paraId="6BFD9BB0">
      <w:pPr>
        <w:spacing w:before="240" w:after="80"/>
      </w:pPr>
      <w:r>
        <w:rPr>
          <w:rFonts w:ascii="Arial" w:hAnsi="Arial" w:eastAsia="Arial" w:cs="Arial"/>
          <w:b/>
          <w:bCs/>
          <w:i/>
          <w:iCs/>
          <w:color w:val="2C3A6B"/>
          <w:sz w:val="24"/>
          <w:szCs w:val="24"/>
        </w:rPr>
        <w:t>3.1 The Running Vacuum Model</w:t>
      </w:r>
    </w:p>
    <w:p w14:paraId="4F52571A">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running vacuum model (RVM) provides the thermodynamic foundation for CCDR. In the RVM, the vacuum energy density is not a constant but runs with the Hubble rate H [12,13]:</w:t>
      </w:r>
    </w:p>
    <w:p w14:paraId="67FBD64A">
      <w:pPr>
        <w:spacing w:before="120" w:after="120"/>
        <w:jc w:val="center"/>
      </w:pPr>
      <w:r>
        <w:rPr>
          <w:rFonts w:ascii="Courier New" w:hAnsi="Courier New" w:eastAsia="Courier New" w:cs="Courier New"/>
          <w:color w:val="1A1A2E"/>
          <w:sz w:val="22"/>
          <w:szCs w:val="22"/>
        </w:rPr>
        <w:t>ρvac(H) = C₀ + νm²H²/M²pl + αH⁴/H²I</w:t>
      </w:r>
      <w:r>
        <w:rPr>
          <w:rFonts w:ascii="Times New Roman" w:hAnsi="Times New Roman" w:eastAsia="Times New Roman" w:cs="Times New Roman"/>
          <w:color w:val="4A5568"/>
          <w:sz w:val="22"/>
          <w:szCs w:val="22"/>
        </w:rPr>
        <w:t xml:space="preserve">   (3)</w:t>
      </w:r>
    </w:p>
    <w:p w14:paraId="61CFF72F">
      <w:pPr>
        <w:spacing w:before="0" w:after="160" w:line="276" w:lineRule="auto"/>
        <w:jc w:val="both"/>
      </w:pPr>
      <w:r>
        <w:rPr>
          <w:rFonts w:ascii="Times New Roman" w:hAnsi="Times New Roman" w:eastAsia="Times New Roman" w:cs="Times New Roman"/>
          <w:b w:val="0"/>
          <w:bCs w:val="0"/>
          <w:i w:val="0"/>
          <w:iCs w:val="0"/>
          <w:color w:val="000000"/>
          <w:sz w:val="24"/>
          <w:szCs w:val="24"/>
        </w:rPr>
        <w:t>where C₀ is the present-day vacuum energy floor, m is a characteristic mass scale of the quantum fields contributing to vacuum running, Mpl is the Planck mass, HI is the inflationary Hubble rate, and ν, α are dimensionless running coefficients. Adiabatic renormalisation of the stress-energy tensor in curved spacetime shows that the quartic divergences (~m⁴) cancel exactly, leaving the residual m²H² and H⁴ terms [13]. The running coefficient ν ~ 10⁻³ is consistent with DESI DR2 constraints on the dark energy equation of state w₀ = -0.99 ± 0.04, wa = -0.37 ± 0.14 [8], which deviate from the cosmological constant value at approximately 3σ.</w:t>
      </w:r>
    </w:p>
    <w:p w14:paraId="231CD9A7">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Gibbons-Hawking temperature of de Sitter space [27],</w:t>
      </w:r>
    </w:p>
    <w:p w14:paraId="68F475E1">
      <w:pPr>
        <w:spacing w:before="120" w:after="120"/>
        <w:jc w:val="center"/>
      </w:pPr>
      <w:r>
        <w:rPr>
          <w:rFonts w:ascii="Courier New" w:hAnsi="Courier New" w:eastAsia="Courier New" w:cs="Courier New"/>
          <w:color w:val="1A1A2E"/>
          <w:sz w:val="22"/>
          <w:szCs w:val="22"/>
        </w:rPr>
        <w:t>T_dS = ħH / 2πkBc</w:t>
      </w:r>
      <w:r>
        <w:rPr>
          <w:rFonts w:ascii="Times New Roman" w:hAnsi="Times New Roman" w:eastAsia="Times New Roman" w:cs="Times New Roman"/>
          <w:color w:val="4A5568"/>
          <w:sz w:val="22"/>
          <w:szCs w:val="22"/>
        </w:rPr>
        <w:t xml:space="preserve">   (4)</w:t>
      </w:r>
    </w:p>
    <w:p w14:paraId="48C00492">
      <w:pPr>
        <w:spacing w:before="0" w:after="160" w:line="276" w:lineRule="auto"/>
        <w:jc w:val="both"/>
      </w:pPr>
      <w:r>
        <w:rPr>
          <w:rFonts w:ascii="Times New Roman" w:hAnsi="Times New Roman" w:eastAsia="Times New Roman" w:cs="Times New Roman"/>
          <w:b w:val="0"/>
          <w:bCs w:val="0"/>
          <w:i w:val="0"/>
          <w:iCs w:val="0"/>
          <w:color w:val="000000"/>
          <w:sz w:val="24"/>
          <w:szCs w:val="24"/>
        </w:rPr>
        <w:t>provides the vacuum with a genuine thermodynamic temperature that runs with H. As H decreases from its inflationary value HI to its present value H₀ and ultimately to its asymptotic de Sitter floor H∞ = H₀√ΩΛ, T_dS decreases from ~10¹² K to ~10⁻³⁰ K. This cooling history is the thermodynamic backbone of CCDR.</w:t>
      </w:r>
    </w:p>
    <w:p w14:paraId="0C09144A">
      <w:pPr>
        <w:spacing w:before="240" w:after="80"/>
      </w:pPr>
      <w:r>
        <w:rPr>
          <w:rFonts w:ascii="Arial" w:hAnsi="Arial" w:eastAsia="Arial" w:cs="Arial"/>
          <w:b/>
          <w:bCs/>
          <w:i/>
          <w:iCs/>
          <w:color w:val="2C3A6B"/>
          <w:sz w:val="24"/>
          <w:szCs w:val="24"/>
        </w:rPr>
        <w:t>3.2 Supersaturation and the Nucleation Condition</w:t>
      </w:r>
    </w:p>
    <w:p w14:paraId="400D943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In classical nucleation theory, a medium is supersaturated when its free energy exceeds that of the thermodynamically preferred ordered phase by more than the nucleation barrier ΔG*. The degree of supersaturation S = P/Peq determines the nucleation rate:</w:t>
      </w:r>
    </w:p>
    <w:p w14:paraId="410536FC">
      <w:pPr>
        <w:spacing w:before="120" w:after="120"/>
        <w:jc w:val="center"/>
      </w:pPr>
      <w:r>
        <w:rPr>
          <w:rFonts w:ascii="Courier New" w:hAnsi="Courier New" w:eastAsia="Courier New" w:cs="Courier New"/>
          <w:color w:val="1A1A2E"/>
          <w:sz w:val="22"/>
          <w:szCs w:val="22"/>
        </w:rPr>
        <w:t>J = A exp(-ΔG*/kBT) = A exp(-16πγ³ / 3kBT [Δμ]^2)</w:t>
      </w:r>
      <w:r>
        <w:rPr>
          <w:rFonts w:ascii="Times New Roman" w:hAnsi="Times New Roman" w:eastAsia="Times New Roman" w:cs="Times New Roman"/>
          <w:color w:val="4A5568"/>
          <w:sz w:val="22"/>
          <w:szCs w:val="22"/>
        </w:rPr>
        <w:t xml:space="preserve">   (5)</w:t>
      </w:r>
    </w:p>
    <w:p w14:paraId="7A0054D3">
      <w:pPr>
        <w:spacing w:before="0" w:after="160" w:line="276" w:lineRule="auto"/>
        <w:jc w:val="both"/>
      </w:pPr>
      <w:r>
        <w:rPr>
          <w:rFonts w:ascii="Times New Roman" w:hAnsi="Times New Roman" w:eastAsia="Times New Roman" w:cs="Times New Roman"/>
          <w:b w:val="0"/>
          <w:bCs w:val="0"/>
          <w:i w:val="0"/>
          <w:iCs w:val="0"/>
          <w:color w:val="000000"/>
          <w:sz w:val="24"/>
          <w:szCs w:val="24"/>
        </w:rPr>
        <w:t>where γ is the interfacial energy and Δμ is the chemical potential difference between the supersaturated and equilibrium phases.</w:t>
      </w:r>
    </w:p>
    <w:p w14:paraId="1C8AA3B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In the cosmological context, the post-inflationary plasma constitutes a supersaturated medium in the following precise sense. The vacuum energy density ρvac(H) during inflation is many orders of magnitude above the eventual matter-radiation equilibrium density ρeq at matter-radiation equality. The ratio:</w:t>
      </w:r>
    </w:p>
    <w:p w14:paraId="5A195699">
      <w:pPr>
        <w:spacing w:before="120" w:after="120"/>
        <w:jc w:val="center"/>
      </w:pPr>
      <w:r>
        <w:rPr>
          <w:rFonts w:ascii="Courier New" w:hAnsi="Courier New" w:eastAsia="Courier New" w:cs="Courier New"/>
          <w:color w:val="1A1A2E"/>
          <w:sz w:val="22"/>
          <w:szCs w:val="22"/>
        </w:rPr>
        <w:t>S_cosmo ≡ ρvac(HI) / ρvac(H∞) ~ (HI/H∞)^4 / α + (HI/H∞)^2 ν &gt;&gt; 1</w:t>
      </w:r>
      <w:r>
        <w:rPr>
          <w:rFonts w:ascii="Times New Roman" w:hAnsi="Times New Roman" w:eastAsia="Times New Roman" w:cs="Times New Roman"/>
          <w:color w:val="4A5568"/>
          <w:sz w:val="22"/>
          <w:szCs w:val="22"/>
        </w:rPr>
        <w:t xml:space="preserve">   (6)</w:t>
      </w:r>
    </w:p>
    <w:p w14:paraId="34F90265">
      <w:pPr>
        <w:spacing w:before="0" w:after="160" w:line="276" w:lineRule="auto"/>
        <w:jc w:val="both"/>
      </w:pPr>
      <w:r>
        <w:rPr>
          <w:rFonts w:ascii="Times New Roman" w:hAnsi="Times New Roman" w:eastAsia="Times New Roman" w:cs="Times New Roman"/>
          <w:b w:val="0"/>
          <w:bCs w:val="0"/>
          <w:i w:val="0"/>
          <w:iCs w:val="0"/>
          <w:color w:val="000000"/>
          <w:sz w:val="24"/>
          <w:szCs w:val="24"/>
        </w:rPr>
        <w:t>is enormous during inflation, and decreases monotonically as H falls. The universe is deeply supersaturated with respect to its eventual de Sitter ground state throughout the inflationary and radiation-dominated eras. The analogy with a supercooled liquid approaching crystallisation is therefore not merely qualitative: both systems are characterised by a free energy excess that drives phase separation, a cooling rate that determines the grain size, and a nucleation process that determines the grain topology.</w:t>
      </w:r>
    </w:p>
    <w:p w14:paraId="1F20BB81">
      <w:pPr>
        <w:spacing w:before="240" w:after="80"/>
      </w:pPr>
      <w:r>
        <w:rPr>
          <w:rFonts w:ascii="Arial" w:hAnsi="Arial" w:eastAsia="Arial" w:cs="Arial"/>
          <w:b/>
          <w:bCs/>
          <w:i/>
          <w:iCs/>
          <w:color w:val="2C3A6B"/>
          <w:sz w:val="24"/>
          <w:szCs w:val="24"/>
        </w:rPr>
        <w:t>3.3 The Kibble Mechanism as Universal Crystal Formation</w:t>
      </w:r>
    </w:p>
    <w:p w14:paraId="120CCED2">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When a system with a continuous symmetry group G cools through a phase transition to a subgroup H, the vacuum manifold π₀(G/H) determines the topology of the resulting defects [16]. This is the Kibble mechanism, and its consequences are universal:</w:t>
      </w:r>
    </w:p>
    <w:p w14:paraId="4739E5CF">
      <w:pPr>
        <w:spacing w:before="0" w:after="160" w:line="276" w:lineRule="auto"/>
        <w:jc w:val="both"/>
      </w:pPr>
      <w:r>
        <w:rPr>
          <w:rFonts w:ascii="Times New Roman" w:hAnsi="Times New Roman" w:eastAsia="Times New Roman" w:cs="Times New Roman"/>
          <w:b w:val="0"/>
          <w:bCs w:val="0"/>
          <w:i w:val="0"/>
          <w:iCs w:val="0"/>
          <w:color w:val="000000"/>
          <w:sz w:val="24"/>
          <w:szCs w:val="24"/>
        </w:rPr>
        <w:t>In a liquid crystal cooling below the nematic transition: π₁(S¹) = ℤ → disclination lines</w:t>
      </w:r>
    </w:p>
    <w:p w14:paraId="3A4E093D">
      <w:pPr>
        <w:spacing w:before="0" w:after="160" w:line="276" w:lineRule="auto"/>
        <w:jc w:val="both"/>
      </w:pPr>
      <w:r>
        <w:rPr>
          <w:rFonts w:ascii="Times New Roman" w:hAnsi="Times New Roman" w:eastAsia="Times New Roman" w:cs="Times New Roman"/>
          <w:b w:val="0"/>
          <w:bCs w:val="0"/>
          <w:i w:val="0"/>
          <w:iCs w:val="0"/>
          <w:color w:val="000000"/>
          <w:sz w:val="24"/>
          <w:szCs w:val="24"/>
        </w:rPr>
        <w:t>In a type-II superconductor: π₁(U(1)) = ℤ → Abrikosov flux vortices</w:t>
      </w:r>
    </w:p>
    <w:p w14:paraId="609C9156">
      <w:pPr>
        <w:spacing w:before="0" w:after="160" w:line="276" w:lineRule="auto"/>
        <w:jc w:val="both"/>
      </w:pPr>
      <w:r>
        <w:rPr>
          <w:rFonts w:ascii="Times New Roman" w:hAnsi="Times New Roman" w:eastAsia="Times New Roman" w:cs="Times New Roman"/>
          <w:b w:val="0"/>
          <w:bCs w:val="0"/>
          <w:i w:val="0"/>
          <w:iCs w:val="0"/>
          <w:color w:val="000000"/>
          <w:sz w:val="24"/>
          <w:szCs w:val="24"/>
        </w:rPr>
        <w:t>In the early universe at the GUT transition: π₂(G/H) ≠ 0 → monopoles; π₁ ≠ 0 → cosmic strings</w:t>
      </w:r>
    </w:p>
    <w:p w14:paraId="182288D9">
      <w:pPr>
        <w:spacing w:before="0" w:after="160" w:line="276" w:lineRule="auto"/>
        <w:jc w:val="both"/>
      </w:pPr>
      <w:r>
        <w:rPr>
          <w:rFonts w:ascii="Times New Roman" w:hAnsi="Times New Roman" w:eastAsia="Times New Roman" w:cs="Times New Roman"/>
          <w:b w:val="0"/>
          <w:bCs w:val="0"/>
          <w:i w:val="0"/>
          <w:iCs w:val="0"/>
          <w:color w:val="000000"/>
          <w:sz w:val="24"/>
          <w:szCs w:val="24"/>
        </w:rPr>
        <w:t>In a cooling higher-dimensional bulk (CCDR): higher-dimensional analogue of the above → defects that intersect the 3D slice as string-like or point-like seeds</w:t>
      </w:r>
    </w:p>
    <w:p w14:paraId="3438081A">
      <w:pPr>
        <w:spacing w:before="0" w:after="160" w:line="276" w:lineRule="auto"/>
        <w:jc w:val="both"/>
      </w:pPr>
      <w:r>
        <w:rPr>
          <w:rFonts w:ascii="Times New Roman" w:hAnsi="Times New Roman" w:eastAsia="Times New Roman" w:cs="Times New Roman"/>
          <w:b w:val="0"/>
          <w:bCs w:val="0"/>
          <w:i w:val="0"/>
          <w:iCs w:val="0"/>
          <w:color w:val="000000"/>
          <w:sz w:val="24"/>
          <w:szCs w:val="24"/>
        </w:rPr>
        <w:t>The mathematical structure of domain formation is identical in all cases. The Zurek-Kibble scaling relation predicts the defect density as a function of the cooling rate and the correlation length at the critical temperature [28]. Applied to the cosmological case, this predicts a characteristic spacing between nucleation seeds ξ ~ (H* t*)^{1/2} where H* and t* are the Hubble rate and time at the higher-dimensional phase transition. The BAO scale r* is, in CCDR, the cosmological realisation of this Zurek-Kibble spacing.</w:t>
      </w:r>
    </w:p>
    <w:p w14:paraId="14F55CC2">
      <w:pPr>
        <w:spacing w:before="360" w:after="120"/>
      </w:pPr>
      <w:r>
        <w:rPr>
          <w:rFonts w:ascii="Arial" w:hAnsi="Arial" w:eastAsia="Arial" w:cs="Arial"/>
          <w:b/>
          <w:bCs/>
          <w:color w:val="1A1A2E"/>
          <w:sz w:val="24"/>
          <w:szCs w:val="24"/>
        </w:rPr>
        <w:t>4. HIGHER-DIMENSIONAL NUCLEATION: BRANE INTERSECTIONS AS SEED DISLOCATIONS</w:t>
      </w:r>
    </w:p>
    <w:p w14:paraId="7B3B9B3B">
      <w:pPr>
        <w:spacing w:before="240" w:after="80"/>
      </w:pPr>
      <w:r>
        <w:rPr>
          <w:rFonts w:ascii="Arial" w:hAnsi="Arial" w:eastAsia="Arial" w:cs="Arial"/>
          <w:b/>
          <w:bCs/>
          <w:i/>
          <w:iCs/>
          <w:color w:val="2C3A6B"/>
          <w:sz w:val="24"/>
          <w:szCs w:val="24"/>
        </w:rPr>
        <w:t>4.1 The Embedding Framework</w:t>
      </w:r>
    </w:p>
    <w:p w14:paraId="56E088E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We model the observable universe as a 3+1 dimensional hypersurface (brane) Σ embedded in an N-dimensional bulk manifold ℳ with coordinates (x¹, ..., x³, y¹, ..., y^{N-4}), where xµ are the coordinates of Σ and y^i are the extra-dimensional coordinates. The brane position is specified by a constraint function:</w:t>
      </w:r>
    </w:p>
    <w:p w14:paraId="5C9AA4E6">
      <w:pPr>
        <w:spacing w:before="120" w:after="120"/>
        <w:jc w:val="center"/>
      </w:pPr>
      <w:r>
        <w:rPr>
          <w:rFonts w:ascii="Courier New" w:hAnsi="Courier New" w:eastAsia="Courier New" w:cs="Courier New"/>
          <w:color w:val="1A1A2E"/>
          <w:sz w:val="22"/>
          <w:szCs w:val="22"/>
        </w:rPr>
        <w:t>Σ = {(x, y) ∈ ℳ : y^i = f^i(x)},    i = 1, ..., N-4</w:t>
      </w:r>
      <w:r>
        <w:rPr>
          <w:rFonts w:ascii="Times New Roman" w:hAnsi="Times New Roman" w:eastAsia="Times New Roman" w:cs="Times New Roman"/>
          <w:color w:val="4A5568"/>
          <w:sz w:val="22"/>
          <w:szCs w:val="22"/>
        </w:rPr>
        <w:t xml:space="preserve">   (7)</w:t>
      </w:r>
    </w:p>
    <w:p w14:paraId="5386EF83">
      <w:pPr>
        <w:spacing w:before="0" w:after="160" w:line="276" w:lineRule="auto"/>
        <w:jc w:val="both"/>
      </w:pPr>
      <w:r>
        <w:rPr>
          <w:rFonts w:ascii="Times New Roman" w:hAnsi="Times New Roman" w:eastAsia="Times New Roman" w:cs="Times New Roman"/>
          <w:b w:val="0"/>
          <w:bCs w:val="0"/>
          <w:i w:val="0"/>
          <w:iCs w:val="0"/>
          <w:color w:val="000000"/>
          <w:sz w:val="24"/>
          <w:szCs w:val="24"/>
        </w:rPr>
        <w:t>In the simplest case (flat brane), f^i = const. and the matter density field in 3D is the projection of the bulk density field:</w:t>
      </w:r>
    </w:p>
    <w:p w14:paraId="12748173">
      <w:pPr>
        <w:spacing w:before="120" w:after="120"/>
        <w:jc w:val="center"/>
      </w:pPr>
      <w:r>
        <w:rPr>
          <w:rFonts w:ascii="Courier New" w:hAnsi="Courier New" w:eastAsia="Courier New" w:cs="Courier New"/>
          <w:color w:val="1A1A2E"/>
          <w:sz w:val="22"/>
          <w:szCs w:val="22"/>
        </w:rPr>
        <w:t>ρ_3D(x) = ∫ ρ_ND(x, y) δ^{N-4}(y - y_brane) d^{N-4}y</w:t>
      </w:r>
      <w:r>
        <w:rPr>
          <w:rFonts w:ascii="Times New Roman" w:hAnsi="Times New Roman" w:eastAsia="Times New Roman" w:cs="Times New Roman"/>
          <w:color w:val="4A5568"/>
          <w:sz w:val="22"/>
          <w:szCs w:val="22"/>
        </w:rPr>
        <w:t xml:space="preserve">   (8)</w:t>
      </w:r>
    </w:p>
    <w:p w14:paraId="7FFDBB29">
      <w:pPr>
        <w:spacing w:before="0" w:after="160" w:line="276" w:lineRule="auto"/>
        <w:jc w:val="both"/>
      </w:pPr>
      <w:r>
        <w:rPr>
          <w:rFonts w:ascii="Times New Roman" w:hAnsi="Times New Roman" w:eastAsia="Times New Roman" w:cs="Times New Roman"/>
          <w:b w:val="0"/>
          <w:bCs w:val="0"/>
          <w:i w:val="0"/>
          <w:iCs w:val="0"/>
          <w:color w:val="000000"/>
          <w:sz w:val="24"/>
          <w:szCs w:val="24"/>
        </w:rPr>
        <w:t>Any localised structure in the bulk — a brane intersection, a topological defect, a Kaluza-Klein resonance — that has support near y = ybrane will produce an enhanced density in ρ_3D(x). The geometry of this enhancement in 3D is determined entirely by the geometry of the bulk structure:</w:t>
      </w:r>
    </w:p>
    <w:p w14:paraId="36B23404">
      <w:pPr>
        <w:spacing w:before="0" w:after="160" w:line="276" w:lineRule="auto"/>
        <w:jc w:val="both"/>
      </w:pPr>
      <w:r>
        <w:rPr>
          <w:rFonts w:ascii="Times New Roman" w:hAnsi="Times New Roman" w:eastAsia="Times New Roman" w:cs="Times New Roman"/>
          <w:b w:val="0"/>
          <w:bCs w:val="0"/>
          <w:i w:val="0"/>
          <w:iCs w:val="0"/>
          <w:color w:val="000000"/>
          <w:sz w:val="24"/>
          <w:szCs w:val="24"/>
        </w:rPr>
        <w:t>A bulk point defect intersecting Σ → a 3D monopole (candidate dark matter halo seed)</w:t>
      </w:r>
    </w:p>
    <w:p w14:paraId="72156EC1">
      <w:pPr>
        <w:spacing w:before="0" w:after="160" w:line="276" w:lineRule="auto"/>
        <w:jc w:val="both"/>
      </w:pPr>
      <w:r>
        <w:rPr>
          <w:rFonts w:ascii="Times New Roman" w:hAnsi="Times New Roman" w:eastAsia="Times New Roman" w:cs="Times New Roman"/>
          <w:b w:val="0"/>
          <w:bCs w:val="0"/>
          <w:i w:val="0"/>
          <w:iCs w:val="0"/>
          <w:color w:val="000000"/>
          <w:sz w:val="24"/>
          <w:szCs w:val="24"/>
        </w:rPr>
        <w:t>A bulk string intersecting Σ → a 3D filament (cosmic web filament)</w:t>
      </w:r>
    </w:p>
    <w:p w14:paraId="5725C0D1">
      <w:pPr>
        <w:spacing w:before="0" w:after="160" w:line="276" w:lineRule="auto"/>
        <w:jc w:val="both"/>
      </w:pPr>
      <w:r>
        <w:rPr>
          <w:rFonts w:ascii="Times New Roman" w:hAnsi="Times New Roman" w:eastAsia="Times New Roman" w:cs="Times New Roman"/>
          <w:b w:val="0"/>
          <w:bCs w:val="0"/>
          <w:i w:val="0"/>
          <w:iCs w:val="0"/>
          <w:color w:val="000000"/>
          <w:sz w:val="24"/>
          <w:szCs w:val="24"/>
        </w:rPr>
        <w:t>A bulk domain wall intersecting Σ → a 3D sheet (cosmic web wall)</w:t>
      </w:r>
    </w:p>
    <w:p w14:paraId="0034BEF5">
      <w:pPr>
        <w:spacing w:before="0" w:after="160" w:line="276" w:lineRule="auto"/>
        <w:jc w:val="both"/>
      </w:pPr>
      <w:r>
        <w:rPr>
          <w:rFonts w:ascii="Times New Roman" w:hAnsi="Times New Roman" w:eastAsia="Times New Roman" w:cs="Times New Roman"/>
          <w:b w:val="0"/>
          <w:bCs w:val="0"/>
          <w:i w:val="0"/>
          <w:iCs w:val="0"/>
          <w:color w:val="000000"/>
          <w:sz w:val="24"/>
          <w:szCs w:val="24"/>
        </w:rPr>
        <w:t>A bulk lattice of defects intersecting Σ → a 3D periodic structure with the lattice spacing of the bulk lattice (BAO-scale regularity)</w:t>
      </w:r>
    </w:p>
    <w:p w14:paraId="3B8071DF">
      <w:pPr>
        <w:spacing w:before="240" w:after="80"/>
      </w:pPr>
      <w:r>
        <w:rPr>
          <w:rFonts w:ascii="Arial" w:hAnsi="Arial" w:eastAsia="Arial" w:cs="Arial"/>
          <w:b/>
          <w:bCs/>
          <w:i/>
          <w:iCs/>
          <w:color w:val="2C3A6B"/>
          <w:sz w:val="24"/>
          <w:szCs w:val="24"/>
        </w:rPr>
        <w:t>4.2 The Nucleation Projection Formula</w:t>
      </w:r>
    </w:p>
    <w:p w14:paraId="77EFAA7D">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Let ρ_defect(y) denote the density field of a topological defect in the bulk, peaked at some y-location y₀ with spatial extent δy in the extra-dimensional directions. The 3D nucleation seed amplitude is:</w:t>
      </w:r>
    </w:p>
    <w:p w14:paraId="6217CE56">
      <w:pPr>
        <w:spacing w:before="120" w:after="120"/>
        <w:jc w:val="center"/>
      </w:pPr>
      <w:r>
        <w:rPr>
          <w:rFonts w:ascii="Courier New" w:hAnsi="Courier New" w:eastAsia="Courier New" w:cs="Courier New"/>
          <w:color w:val="1A1A2E"/>
          <w:sz w:val="22"/>
          <w:szCs w:val="22"/>
        </w:rPr>
        <w:t>ρ_seed(x) = g_{N-4} ∫ ρ_defect(x, y) K(y - y_brane) d^{N-4}y</w:t>
      </w:r>
      <w:r>
        <w:rPr>
          <w:rFonts w:ascii="Times New Roman" w:hAnsi="Times New Roman" w:eastAsia="Times New Roman" w:cs="Times New Roman"/>
          <w:color w:val="4A5568"/>
          <w:sz w:val="22"/>
          <w:szCs w:val="22"/>
        </w:rPr>
        <w:t xml:space="preserve">   (9)</w:t>
      </w:r>
    </w:p>
    <w:p w14:paraId="7254B731">
      <w:pPr>
        <w:spacing w:before="0" w:after="160" w:line="276" w:lineRule="auto"/>
        <w:jc w:val="both"/>
      </w:pPr>
      <w:r>
        <w:rPr>
          <w:rFonts w:ascii="Times New Roman" w:hAnsi="Times New Roman" w:eastAsia="Times New Roman" w:cs="Times New Roman"/>
          <w:b w:val="0"/>
          <w:bCs w:val="0"/>
          <w:i w:val="0"/>
          <w:iCs w:val="0"/>
          <w:color w:val="000000"/>
          <w:sz w:val="24"/>
          <w:szCs w:val="24"/>
        </w:rPr>
        <w:t>where g_{N-4} is the N-4 dimensional coupling and K(y) is a kernel that encodes the warp factor of the extra dimensions. For an exponentially warped Randall-Sundrum geometry [29], K(y) = e^{-k|y|} and the effective 3D coupling is:</w:t>
      </w:r>
    </w:p>
    <w:p w14:paraId="75B22759">
      <w:pPr>
        <w:spacing w:before="120" w:after="120"/>
        <w:jc w:val="center"/>
      </w:pPr>
      <w:r>
        <w:rPr>
          <w:rFonts w:ascii="Courier New" w:hAnsi="Courier New" w:eastAsia="Courier New" w:cs="Courier New"/>
          <w:color w:val="1A1A2E"/>
          <w:sz w:val="22"/>
          <w:szCs w:val="22"/>
        </w:rPr>
        <w:t>g_eff = g_{N-4} / (k δy)^{(N-4)/2}</w:t>
      </w:r>
      <w:r>
        <w:rPr>
          <w:rFonts w:ascii="Times New Roman" w:hAnsi="Times New Roman" w:eastAsia="Times New Roman" w:cs="Times New Roman"/>
          <w:color w:val="4A5568"/>
          <w:sz w:val="22"/>
          <w:szCs w:val="22"/>
        </w:rPr>
        <w:t xml:space="preserve">   (10)</w:t>
      </w:r>
    </w:p>
    <w:p w14:paraId="1575E462">
      <w:pPr>
        <w:spacing w:before="0" w:after="160" w:line="276" w:lineRule="auto"/>
        <w:jc w:val="both"/>
      </w:pPr>
      <w:r>
        <w:rPr>
          <w:rFonts w:ascii="Times New Roman" w:hAnsi="Times New Roman" w:eastAsia="Times New Roman" w:cs="Times New Roman"/>
          <w:b w:val="0"/>
          <w:bCs w:val="0"/>
          <w:i w:val="0"/>
          <w:iCs w:val="0"/>
          <w:color w:val="000000"/>
          <w:sz w:val="24"/>
          <w:szCs w:val="24"/>
        </w:rPr>
        <w:t>This suppression of the effective coupling by the warp factor provides a natural explanation for why gravitational effects of the bulk on 3D physics are weak — they are exponentially suppressed by the compactification scale.</w:t>
      </w:r>
    </w:p>
    <w:p w14:paraId="68E4E38C">
      <w:pPr>
        <w:spacing w:before="240" w:after="80"/>
      </w:pPr>
      <w:r>
        <w:rPr>
          <w:rFonts w:ascii="Arial" w:hAnsi="Arial" w:eastAsia="Arial" w:cs="Arial"/>
          <w:b/>
          <w:bCs/>
          <w:i/>
          <w:iCs/>
          <w:color w:val="2C3A6B"/>
          <w:sz w:val="24"/>
          <w:szCs w:val="24"/>
        </w:rPr>
        <w:t>4.3 Why the BAO Scale is the Lattice Constant</w:t>
      </w:r>
    </w:p>
    <w:p w14:paraId="09A8DB05">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In classical crystallography, the lattice constant is determined by the balance between repulsive short-range forces and attractive long-range forces acting on the constituent atoms. In CCDR, the analogous balance is:</w:t>
      </w:r>
    </w:p>
    <w:p w14:paraId="024EE84C">
      <w:pPr>
        <w:spacing w:before="0" w:after="160" w:line="276" w:lineRule="auto"/>
        <w:jc w:val="both"/>
      </w:pPr>
      <w:r>
        <w:rPr>
          <w:rFonts w:ascii="Times New Roman" w:hAnsi="Times New Roman" w:eastAsia="Times New Roman" w:cs="Times New Roman"/>
          <w:b w:val="0"/>
          <w:bCs w:val="0"/>
          <w:i w:val="0"/>
          <w:iCs w:val="0"/>
          <w:color w:val="000000"/>
          <w:sz w:val="24"/>
          <w:szCs w:val="24"/>
        </w:rPr>
        <w:t>Attractive: gravitational clustering of matter around nucleation seeds, operating on scales λ &lt; r_J (Jeans length)</w:t>
      </w:r>
    </w:p>
    <w:p w14:paraId="32832C50">
      <w:pPr>
        <w:spacing w:before="0" w:after="160" w:line="276" w:lineRule="auto"/>
        <w:jc w:val="both"/>
      </w:pPr>
      <w:r>
        <w:rPr>
          <w:rFonts w:ascii="Times New Roman" w:hAnsi="Times New Roman" w:eastAsia="Times New Roman" w:cs="Times New Roman"/>
          <w:b w:val="0"/>
          <w:bCs w:val="0"/>
          <w:i w:val="0"/>
          <w:iCs w:val="0"/>
          <w:color w:val="000000"/>
          <w:sz w:val="24"/>
          <w:szCs w:val="24"/>
        </w:rPr>
        <w:t>Repulsive: radiation pressure of the photon-baryon plasma, which supports acoustic waves with phase speed cs = c/√3(1+R) where R = 3ρb/4ργ</w:t>
      </w:r>
    </w:p>
    <w:p w14:paraId="7232C6F9">
      <w:pPr>
        <w:spacing w:before="0" w:after="160" w:line="276" w:lineRule="auto"/>
        <w:jc w:val="both"/>
      </w:pPr>
      <w:r>
        <w:rPr>
          <w:rFonts w:ascii="Times New Roman" w:hAnsi="Times New Roman" w:eastAsia="Times New Roman" w:cs="Times New Roman"/>
          <w:b w:val="0"/>
          <w:bCs w:val="0"/>
          <w:i w:val="0"/>
          <w:iCs w:val="0"/>
          <w:color w:val="000000"/>
          <w:sz w:val="24"/>
          <w:szCs w:val="24"/>
        </w:rPr>
        <w:t>The balance between these forces defines the sound horizon r* at last scattering, which is the scale at which the acoustic oscillations are frozen into the matter distribution. This is the cosmological lattice constant.</w:t>
      </w:r>
    </w:p>
    <w:p w14:paraId="110EDB35">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In CCDR, r* has a dual interpretation. From the standard cosmological perspective, it is the comoving distance travelled by the acoustic wave from the Big Bang to recombination. From the crystallographic perspective, it is the equilibrium spacing of the crystalline lattice set by the effective inter-particle potential in the photon-baryon fluid. These two descriptions are not in competition — they are dual descriptions of the same physical phenomenon, analogous to how the phonon dispersion relation in a crystal can be derived either from the microscopic spring constants or from the macroscopic elastic moduli.</w:t>
      </w:r>
    </w:p>
    <w:p w14:paraId="155DA859">
      <w:pPr>
        <w:spacing w:before="360" w:after="120"/>
      </w:pPr>
      <w:r>
        <w:rPr>
          <w:rFonts w:ascii="Arial" w:hAnsi="Arial" w:eastAsia="Arial" w:cs="Arial"/>
          <w:b/>
          <w:bCs/>
          <w:color w:val="1A1A2E"/>
          <w:sz w:val="24"/>
          <w:szCs w:val="24"/>
        </w:rPr>
        <w:t>5. DIMENSIONAL PROJECTION AND THE EMERGENCE OF QUANTUM STATISTICS</w:t>
      </w:r>
    </w:p>
    <w:p w14:paraId="3F012056">
      <w:pPr>
        <w:spacing w:before="240" w:after="80"/>
      </w:pPr>
      <w:r>
        <w:rPr>
          <w:rFonts w:ascii="Arial" w:hAnsi="Arial" w:eastAsia="Arial" w:cs="Arial"/>
          <w:b/>
          <w:bCs/>
          <w:i/>
          <w:iCs/>
          <w:color w:val="2C3A6B"/>
          <w:sz w:val="24"/>
          <w:szCs w:val="24"/>
        </w:rPr>
        <w:t>5.1 The Projection Hypothesis</w:t>
      </w:r>
    </w:p>
    <w:p w14:paraId="217E03E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central claim of this section is that quantum mechanical statistics, as observed in the 3+1 dimensional slice Σ, may arise as the statistical description of classical deterministic dynamics in the higher-dimensional bulk ℳ, when those dynamics are projected onto Σ by an observer with no access to the extra dimensions y^i.</w:t>
      </w:r>
    </w:p>
    <w:p w14:paraId="23AF62F7">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This is not a new idea in isolation. The AdS/CFT correspondence [30] establishes a precise duality between quantum gravity in (n+1)-dimensional Anti-de Sitter space and a conformal quantum field theory in n dimensions: the lower-dimensional theory appears quantum mechanical and statistical, while the higher-dimensional theory is gravitational and classical-ish. The holographic principle [31,32] generalises this: the maximum information content of any spatial volume is proportional to its boundary area, not its volume, suggesting that the full N-dimensional dynamics is encoded on a lower-dimensional surface.</w:t>
      </w:r>
    </w:p>
    <w:p w14:paraId="3BDCA275">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What CCDR adds is a specific physical realisation of this projection in the cosmological context: the 3D observer lives inside a single unit cell of the cosmological crystal, and what they interpret as quantum fluctuations are the thermal phonons of the lattice propagating through the unit cell walls.</w:t>
      </w:r>
    </w:p>
    <w:p w14:paraId="097771A5">
      <w:pPr>
        <w:spacing w:before="240" w:after="80"/>
      </w:pPr>
      <w:r>
        <w:rPr>
          <w:rFonts w:ascii="Arial" w:hAnsi="Arial" w:eastAsia="Arial" w:cs="Arial"/>
          <w:b/>
          <w:bCs/>
          <w:i/>
          <w:iCs/>
          <w:color w:val="2C3A6B"/>
          <w:sz w:val="24"/>
          <w:szCs w:val="24"/>
        </w:rPr>
        <w:t>5.2 The Born Rule as Pythagorean Projection</w:t>
      </w:r>
    </w:p>
    <w:p w14:paraId="1C66A4B2">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Consider a classical state vector Ψ in an N-dimensional phase space. Upon projection to the 3-dimensional subspace accessible to observation, the projected state ψ = P_3 Ψ satisfies:</w:t>
      </w:r>
    </w:p>
    <w:p w14:paraId="36A41460">
      <w:pPr>
        <w:spacing w:before="120" w:after="120"/>
        <w:jc w:val="center"/>
      </w:pPr>
      <w:r>
        <w:rPr>
          <w:rFonts w:ascii="Courier New" w:hAnsi="Courier New" w:eastAsia="Courier New" w:cs="Courier New"/>
          <w:color w:val="1A1A2E"/>
          <w:sz w:val="22"/>
          <w:szCs w:val="22"/>
        </w:rPr>
        <w:t>|ψ|^2 = |Ψ|^2 cos^2θ</w:t>
      </w:r>
      <w:r>
        <w:rPr>
          <w:rFonts w:ascii="Times New Roman" w:hAnsi="Times New Roman" w:eastAsia="Times New Roman" w:cs="Times New Roman"/>
          <w:color w:val="4A5568"/>
          <w:sz w:val="22"/>
          <w:szCs w:val="22"/>
        </w:rPr>
        <w:t xml:space="preserve">   (11)</w:t>
      </w:r>
    </w:p>
    <w:p w14:paraId="1AF1BD08">
      <w:pPr>
        <w:spacing w:before="0" w:after="160" w:line="276" w:lineRule="auto"/>
        <w:jc w:val="both"/>
      </w:pPr>
      <w:r>
        <w:rPr>
          <w:rFonts w:ascii="Times New Roman" w:hAnsi="Times New Roman" w:eastAsia="Times New Roman" w:cs="Times New Roman"/>
          <w:b w:val="0"/>
          <w:bCs w:val="0"/>
          <w:i w:val="0"/>
          <w:iCs w:val="0"/>
          <w:color w:val="000000"/>
          <w:sz w:val="24"/>
          <w:szCs w:val="24"/>
        </w:rPr>
        <w:t>where θ is the angle between Ψ and the projection hyperplane. For an ensemble of classical states uniformly distributed on the N-dimensional unit sphere, the projected amplitude |cos^2θ| follows a distribution that, in the limit of large N, converges to the Born rule |P|^2 for quantum probabilities.</w:t>
      </w:r>
    </w:p>
    <w:p w14:paraId="1B09701F">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This is Pythagoras's theorem applied to a projection: the squared magnitude of the projected vector gives the fraction of the original vector's length visible in the lower-dimensional subspace. The Born rule is not a postulate in this picture — it is a geometric consequence of projecting classical states from a high-dimensional space onto a three-dimensional observation surface.</w:t>
      </w:r>
    </w:p>
    <w:p w14:paraId="4EB973DE">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uncertainty principle follows analogously. Conjugate variables (q, p) in 3D are the projections of phase-space coordinates (Q, P) in ND. The commutation relation [q, p] = iħ emerges from the non-commutativity of projection operators onto non-orthogonal subspaces. Planck's constant ħ is, in this picture, a measure of the irreducible information lost in the projection — equivalently, the thermal energy per mode of the vacuum that cannot be extracted because the de Sitter floor H∞ &gt; 0 prevents complete cooling.</w:t>
      </w:r>
    </w:p>
    <w:p w14:paraId="7EDA2925">
      <w:pPr>
        <w:spacing w:before="240" w:after="80"/>
      </w:pPr>
      <w:r>
        <w:rPr>
          <w:rFonts w:ascii="Arial" w:hAnsi="Arial" w:eastAsia="Arial" w:cs="Arial"/>
          <w:b/>
          <w:bCs/>
          <w:i/>
          <w:iCs/>
          <w:color w:val="2C3A6B"/>
          <w:sz w:val="24"/>
          <w:szCs w:val="24"/>
        </w:rPr>
        <w:t>5.3 Phonons and Virtual Particles</w:t>
      </w:r>
    </w:p>
    <w:p w14:paraId="2CE541A2">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In the crystallographic picture, the zero-point fluctuations of the quantum vacuum correspond to the zero-point motion of the crystal lattice — the phonon ground state. Virtual particle pairs in QFT correspond to virtual phonon pairs in the lattice description: transient excitations of the acoustic modes that do not propagate to the observer but mediate interactions between real excitations (particles).</w:t>
      </w:r>
    </w:p>
    <w:p w14:paraId="595499F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Casimir effect — the measurable attractive force between parallel conducting plates in vacuum [18] — is, in this picture, the acoustic analogue of the force between two rigid inclusions in a crystal, arising from the modification of the phonon density of states between the plates. The Casimir force has been measured to sub-percent accuracy [33] and constitutes a direct measurement of the zero-point phonon energy of the cosmological lattice.</w:t>
      </w:r>
    </w:p>
    <w:p w14:paraId="7DD44F3C">
      <w:pPr>
        <w:spacing w:before="360" w:after="120"/>
      </w:pPr>
      <w:r>
        <w:rPr>
          <w:rFonts w:ascii="Arial" w:hAnsi="Arial" w:eastAsia="Arial" w:cs="Arial"/>
          <w:b/>
          <w:bCs/>
          <w:color w:val="1A1A2E"/>
          <w:sz w:val="24"/>
          <w:szCs w:val="24"/>
        </w:rPr>
        <w:t>6. OBSERVATIONAL PREDICTIONS</w:t>
      </w:r>
    </w:p>
    <w:p w14:paraId="6921891E">
      <w:pPr>
        <w:spacing w:before="240" w:after="80"/>
      </w:pPr>
      <w:r>
        <w:rPr>
          <w:rFonts w:ascii="Arial" w:hAnsi="Arial" w:eastAsia="Arial" w:cs="Arial"/>
          <w:b/>
          <w:bCs/>
          <w:i/>
          <w:iCs/>
          <w:color w:val="2C3A6B"/>
          <w:sz w:val="24"/>
          <w:szCs w:val="24"/>
        </w:rPr>
        <w:t>6.1 RVM Shift in the Effective BAO Scale</w:t>
      </w:r>
    </w:p>
    <w:p w14:paraId="0B12E97D">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RVM running of the vacuum energy induces a shift in the sound horizon at recombination relative to the standard ΛCDM prediction. From the RVM continuity equation and the modified Friedmann equations [12], the fractional shift in r* is:</w:t>
      </w:r>
    </w:p>
    <w:p w14:paraId="3587F86B">
      <w:pPr>
        <w:spacing w:before="120" w:after="120"/>
        <w:jc w:val="center"/>
      </w:pPr>
      <w:r>
        <w:rPr>
          <w:rFonts w:ascii="Courier New" w:hAnsi="Courier New" w:eastAsia="Courier New" w:cs="Courier New"/>
          <w:color w:val="1A1A2E"/>
          <w:sz w:val="22"/>
          <w:szCs w:val="22"/>
        </w:rPr>
        <w:t>δr* / r* ≈ ν/2 ≈ 5 × 10^{-4}</w:t>
      </w:r>
      <w:r>
        <w:rPr>
          <w:rFonts w:ascii="Times New Roman" w:hAnsi="Times New Roman" w:eastAsia="Times New Roman" w:cs="Times New Roman"/>
          <w:color w:val="4A5568"/>
          <w:sz w:val="22"/>
          <w:szCs w:val="22"/>
        </w:rPr>
        <w:t xml:space="preserve">   (12)</w:t>
      </w:r>
    </w:p>
    <w:p w14:paraId="12EB332C">
      <w:pPr>
        <w:spacing w:before="0" w:after="160" w:line="276" w:lineRule="auto"/>
        <w:jc w:val="both"/>
      </w:pPr>
      <w:r>
        <w:rPr>
          <w:rFonts w:ascii="Times New Roman" w:hAnsi="Times New Roman" w:eastAsia="Times New Roman" w:cs="Times New Roman"/>
          <w:b w:val="0"/>
          <w:bCs w:val="0"/>
          <w:i w:val="0"/>
          <w:iCs w:val="0"/>
          <w:color w:val="000000"/>
          <w:sz w:val="24"/>
          <w:szCs w:val="24"/>
        </w:rPr>
        <w:t>This shift is redshift-dependent: because the RVM vacuum energy evolves with H(z), the effective BAO scale measured at different redshifts should show a systematic trend at the level of δr*/r* ~ ν/2. For ν ~ 10⁻³ as indicated by DESI DR2 [8], this is a 0.05% effect — below current measurement precision (σ(r*)/r* ~ 0.2% in DESI DR2) but within reach of DESI DR3/DR4 with σ(r*)/r* ~ 0.1%.</w:t>
      </w:r>
    </w:p>
    <w:p w14:paraId="25A9CD2E">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Prediction P1: The effective BAO scale r*(z) should decrease monotonically with decreasing redshift at a rate:</w:t>
      </w:r>
    </w:p>
    <w:p w14:paraId="0C7E4B4C">
      <w:pPr>
        <w:spacing w:before="120" w:after="120"/>
        <w:jc w:val="center"/>
      </w:pPr>
      <w:r>
        <w:rPr>
          <w:rFonts w:ascii="Courier New" w:hAnsi="Courier New" w:eastAsia="Courier New" w:cs="Courier New"/>
          <w:color w:val="1A1A2E"/>
          <w:sz w:val="22"/>
          <w:szCs w:val="22"/>
        </w:rPr>
        <w:t>dr*/dz ≈ (ν/2) r* × d ln H(z)/dz</w:t>
      </w:r>
      <w:r>
        <w:rPr>
          <w:rFonts w:ascii="Times New Roman" w:hAnsi="Times New Roman" w:eastAsia="Times New Roman" w:cs="Times New Roman"/>
          <w:color w:val="4A5568"/>
          <w:sz w:val="22"/>
          <w:szCs w:val="22"/>
        </w:rPr>
        <w:t xml:space="preserve">   (13)</w:t>
      </w:r>
    </w:p>
    <w:p w14:paraId="5B0114CF">
      <w:pPr>
        <w:spacing w:before="0" w:after="160" w:line="276" w:lineRule="auto"/>
        <w:jc w:val="both"/>
      </w:pPr>
      <w:r>
        <w:rPr>
          <w:rFonts w:ascii="Times New Roman" w:hAnsi="Times New Roman" w:eastAsia="Times New Roman" w:cs="Times New Roman"/>
          <w:b w:val="0"/>
          <w:bCs w:val="0"/>
          <w:i w:val="0"/>
          <w:iCs w:val="0"/>
          <w:color w:val="000000"/>
          <w:sz w:val="24"/>
          <w:szCs w:val="24"/>
        </w:rPr>
        <w:t>This is a unique prediction of CCDR-RVM that distinguishes it from both pure ΛCDM (where r* is constant) and generic dynamical dark energy models (which do not predict the specific ν-parameterisation).</w:t>
      </w:r>
    </w:p>
    <w:p w14:paraId="7BFFFEF8">
      <w:pPr>
        <w:spacing w:before="240" w:after="80"/>
      </w:pPr>
      <w:r>
        <w:rPr>
          <w:rFonts w:ascii="Arial" w:hAnsi="Arial" w:eastAsia="Arial" w:cs="Arial"/>
          <w:b/>
          <w:bCs/>
          <w:i/>
          <w:iCs/>
          <w:color w:val="2C3A6B"/>
          <w:sz w:val="24"/>
          <w:szCs w:val="24"/>
        </w:rPr>
        <w:t>6.2 Non-Gaussianity from Grain Boundary Topology</w:t>
      </w:r>
    </w:p>
    <w:p w14:paraId="376F9C20">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Crystal grain boundaries produce characteristic signatures in the density field: discontinuities in the gradient of ρ(x), excess clustering at the boundary scale, and deficit clustering interior to grains (voids). These translate to non-Gaussian features in the matter power spectrum at scales k ~ π/r_grain, where r_grain is the characteristic void size.</w:t>
      </w:r>
    </w:p>
    <w:p w14:paraId="5A6FECDE">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Prediction P2: The reduced bispectrum B(k1, k2, k3) of the matter density field should show an excess at configurations satisfying the cosine rule k3² = k1² + k2² - 2k1k2 cosθ with θ ≈ 60° — the angle characteristic of hexagonal close-packed grain boundary topology. The amplitude of this excess is predicted to be f_NL^grain ~ (r*/r_grain)² × 10⁻², placing it in the range detectable by Euclid weak lensing bispectrum measurements [34] for typical void sizes r_grain ~ 30–50 Mpc.</w:t>
      </w:r>
    </w:p>
    <w:p w14:paraId="1E0C8F9F">
      <w:pPr>
        <w:spacing w:before="240" w:after="80"/>
      </w:pPr>
      <w:r>
        <w:rPr>
          <w:rFonts w:ascii="Arial" w:hAnsi="Arial" w:eastAsia="Arial" w:cs="Arial"/>
          <w:b/>
          <w:bCs/>
          <w:i/>
          <w:iCs/>
          <w:color w:val="2C3A6B"/>
          <w:sz w:val="24"/>
          <w:szCs w:val="24"/>
        </w:rPr>
        <w:t>6.3 Filament Axis Orientational Correlations</w:t>
      </w:r>
    </w:p>
    <w:p w14:paraId="47A7B274">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Polycrystalline materials formed from directional nucleation (e.g., directional solidification) exhibit crystallographic texture: a preferential alignment of grain orientations over scales much larger than the grain size. In CCDR, if the higher-dimensional nucleation seeds are not isotropically distributed but reflect the geometry of a higher-dimensional lattice, this will induce orientational correlations in cosmic web filament axes.</w:t>
      </w:r>
    </w:p>
    <w:p w14:paraId="1FF1CE18">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Prediction P3: The filament orientation correlation function C_fila(θ, r) = &lt;ν̂_fila(x) · ν̂_fila(x+r)&gt; should show a non-zero excess at separations r &gt; r* that decays more slowly than the matter correlation function ξ(r). Specifically, CCDR predicts C_fila ~ A exp(-r/r_texture) with r_texture &gt; r* and A ~ 10⁻²–10⁻³. This signal is accessible with forthcoming spectroscopic surveys (DESI, Euclid, SKAO) through filament-finding algorithms applied to the full 3D galaxy distribution [35].</w:t>
      </w:r>
    </w:p>
    <w:p w14:paraId="13B84A7B">
      <w:pPr>
        <w:spacing w:before="360" w:after="120"/>
      </w:pPr>
      <w:r>
        <w:rPr>
          <w:rFonts w:ascii="Arial" w:hAnsi="Arial" w:eastAsia="Arial" w:cs="Arial"/>
          <w:b/>
          <w:bCs/>
          <w:color w:val="1A1A2E"/>
          <w:sz w:val="24"/>
          <w:szCs w:val="24"/>
        </w:rPr>
        <w:t>7. RELATION TO EXISTING THEORETICAL FRAMEWORKS</w:t>
      </w:r>
    </w:p>
    <w:p w14:paraId="34D16DC1">
      <w:pPr>
        <w:spacing w:before="40" w:after="0"/>
      </w:pPr>
    </w:p>
    <w:p w14:paraId="2107B681">
      <w:pPr>
        <w:spacing w:before="0" w:after="200"/>
      </w:pPr>
      <w:r>
        <w:rPr>
          <w:rFonts w:ascii="Arial" w:hAnsi="Arial" w:eastAsia="Arial" w:cs="Arial"/>
          <w:i/>
          <w:iCs/>
          <w:color w:val="4A5568"/>
          <w:sz w:val="20"/>
          <w:szCs w:val="20"/>
        </w:rPr>
        <w:t>Table 1. Correspondence between CCDR and existing theoretical programmes.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700"/>
        <w:gridCol w:w="2600"/>
        <w:gridCol w:w="2460"/>
      </w:tblGrid>
      <w:tr w14:paraId="59A8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6799FB62">
            <w:pPr>
              <w:jc w:val="left"/>
            </w:pPr>
            <w:r>
              <w:rPr>
                <w:rFonts w:ascii="Arial" w:hAnsi="Arial" w:eastAsia="Arial" w:cs="Arial"/>
                <w:b/>
                <w:bCs/>
                <w:color w:val="1A1A2E"/>
                <w:sz w:val="18"/>
                <w:szCs w:val="18"/>
              </w:rPr>
              <w:t>Scale</w:t>
            </w:r>
          </w:p>
        </w:tc>
        <w:tc>
          <w:tcPr>
            <w:tcW w:w="27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3D36965E">
            <w:pPr>
              <w:jc w:val="left"/>
            </w:pPr>
            <w:r>
              <w:rPr>
                <w:rFonts w:ascii="Arial" w:hAnsi="Arial" w:eastAsia="Arial" w:cs="Arial"/>
                <w:b/>
                <w:bCs/>
                <w:color w:val="1A1A2E"/>
                <w:sz w:val="18"/>
                <w:szCs w:val="18"/>
              </w:rPr>
              <w:t>Physical Phenomenon</w:t>
            </w:r>
          </w:p>
        </w:tc>
        <w:tc>
          <w:tcPr>
            <w:tcW w:w="26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5581F9B1">
            <w:pPr>
              <w:jc w:val="left"/>
            </w:pPr>
            <w:r>
              <w:rPr>
                <w:rFonts w:ascii="Arial" w:hAnsi="Arial" w:eastAsia="Arial" w:cs="Arial"/>
                <w:b/>
                <w:bCs/>
                <w:color w:val="1A1A2E"/>
                <w:sz w:val="18"/>
                <w:szCs w:val="18"/>
              </w:rPr>
              <w:t>Crystal Analogue</w:t>
            </w:r>
          </w:p>
        </w:tc>
        <w:tc>
          <w:tcPr>
            <w:tcW w:w="246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71EC1F4D">
            <w:pPr>
              <w:jc w:val="left"/>
            </w:pPr>
            <w:r>
              <w:rPr>
                <w:rFonts w:ascii="Arial" w:hAnsi="Arial" w:eastAsia="Arial" w:cs="Arial"/>
                <w:b/>
                <w:bCs/>
                <w:color w:val="1A1A2E"/>
                <w:sz w:val="18"/>
                <w:szCs w:val="18"/>
              </w:rPr>
              <w:t>Key Reference</w:t>
            </w:r>
          </w:p>
        </w:tc>
      </w:tr>
      <w:tr w14:paraId="2FCDF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2B0067">
            <w:pPr>
              <w:jc w:val="left"/>
            </w:pPr>
            <w:r>
              <w:rPr>
                <w:rFonts w:ascii="Arial" w:hAnsi="Arial" w:eastAsia="Arial" w:cs="Arial"/>
                <w:b w:val="0"/>
                <w:bCs w:val="0"/>
                <w:color w:val="000000"/>
                <w:sz w:val="18"/>
                <w:szCs w:val="18"/>
              </w:rPr>
              <w:t>Planck (10⁻³⁵ m)</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D1349C">
            <w:pPr>
              <w:jc w:val="left"/>
            </w:pPr>
            <w:r>
              <w:rPr>
                <w:rFonts w:ascii="Arial" w:hAnsi="Arial" w:eastAsia="Arial" w:cs="Arial"/>
                <w:b w:val="0"/>
                <w:bCs w:val="0"/>
                <w:color w:val="000000"/>
                <w:sz w:val="18"/>
                <w:szCs w:val="18"/>
              </w:rPr>
              <w:t>Spacetime foam, geometry fluctuations</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32E15E">
            <w:pPr>
              <w:jc w:val="left"/>
            </w:pPr>
            <w:r>
              <w:rPr>
                <w:rFonts w:ascii="Arial" w:hAnsi="Arial" w:eastAsia="Arial" w:cs="Arial"/>
                <w:b w:val="0"/>
                <w:bCs w:val="0"/>
                <w:color w:val="000000"/>
                <w:sz w:val="18"/>
                <w:szCs w:val="18"/>
              </w:rPr>
              <w:t>Lattice thermal vibration (phonons)</w:t>
            </w:r>
          </w:p>
        </w:tc>
        <w:tc>
          <w:tcPr>
            <w:tcW w:w="2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C888C2">
            <w:pPr>
              <w:jc w:val="left"/>
            </w:pPr>
            <w:r>
              <w:rPr>
                <w:rFonts w:ascii="Arial" w:hAnsi="Arial" w:eastAsia="Arial" w:cs="Arial"/>
                <w:b w:val="0"/>
                <w:bCs w:val="0"/>
                <w:color w:val="000000"/>
                <w:sz w:val="18"/>
                <w:szCs w:val="18"/>
              </w:rPr>
              <w:t>Wheeler (1955) [17]</w:t>
            </w:r>
          </w:p>
        </w:tc>
      </w:tr>
      <w:tr w14:paraId="16A76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8C66319">
            <w:pPr>
              <w:jc w:val="left"/>
            </w:pPr>
            <w:r>
              <w:rPr>
                <w:rFonts w:ascii="Arial" w:hAnsi="Arial" w:eastAsia="Arial" w:cs="Arial"/>
                <w:b w:val="0"/>
                <w:bCs w:val="0"/>
                <w:color w:val="000000"/>
                <w:sz w:val="18"/>
                <w:szCs w:val="18"/>
              </w:rPr>
              <w:t>Particle</w:t>
            </w:r>
          </w:p>
        </w:tc>
        <w:tc>
          <w:tcPr>
            <w:tcW w:w="2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72896BB6">
            <w:pPr>
              <w:jc w:val="left"/>
            </w:pPr>
            <w:r>
              <w:rPr>
                <w:rFonts w:ascii="Arial" w:hAnsi="Arial" w:eastAsia="Arial" w:cs="Arial"/>
                <w:b w:val="0"/>
                <w:bCs w:val="0"/>
                <w:color w:val="000000"/>
                <w:sz w:val="18"/>
                <w:szCs w:val="18"/>
              </w:rPr>
              <w:t>Virtual particle pairs, zero-point fields</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A4255A1">
            <w:pPr>
              <w:jc w:val="left"/>
            </w:pPr>
            <w:r>
              <w:rPr>
                <w:rFonts w:ascii="Arial" w:hAnsi="Arial" w:eastAsia="Arial" w:cs="Arial"/>
                <w:b w:val="0"/>
                <w:bCs w:val="0"/>
                <w:color w:val="000000"/>
                <w:sz w:val="18"/>
                <w:szCs w:val="18"/>
              </w:rPr>
              <w:t>Acoustic phonon modes</w:t>
            </w:r>
          </w:p>
        </w:tc>
        <w:tc>
          <w:tcPr>
            <w:tcW w:w="24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6AB9232E">
            <w:pPr>
              <w:jc w:val="left"/>
            </w:pPr>
            <w:r>
              <w:rPr>
                <w:rFonts w:ascii="Arial" w:hAnsi="Arial" w:eastAsia="Arial" w:cs="Arial"/>
                <w:b w:val="0"/>
                <w:bCs w:val="0"/>
                <w:color w:val="000000"/>
                <w:sz w:val="18"/>
                <w:szCs w:val="18"/>
              </w:rPr>
              <w:t>Casimir (1948) [18]</w:t>
            </w:r>
          </w:p>
        </w:tc>
      </w:tr>
      <w:tr w14:paraId="6497E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E2BD30">
            <w:pPr>
              <w:jc w:val="left"/>
            </w:pPr>
            <w:r>
              <w:rPr>
                <w:rFonts w:ascii="Arial" w:hAnsi="Arial" w:eastAsia="Arial" w:cs="Arial"/>
                <w:b w:val="0"/>
                <w:bCs w:val="0"/>
                <w:color w:val="000000"/>
                <w:sz w:val="18"/>
                <w:szCs w:val="18"/>
              </w:rPr>
              <w:t>Atomic</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F907C3">
            <w:pPr>
              <w:jc w:val="left"/>
            </w:pPr>
            <w:r>
              <w:rPr>
                <w:rFonts w:ascii="Arial" w:hAnsi="Arial" w:eastAsia="Arial" w:cs="Arial"/>
                <w:b w:val="0"/>
                <w:bCs w:val="0"/>
                <w:color w:val="000000"/>
                <w:sz w:val="18"/>
                <w:szCs w:val="18"/>
              </w:rPr>
              <w:t>Atomic/molecular binding</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5E9606">
            <w:pPr>
              <w:jc w:val="left"/>
            </w:pPr>
            <w:r>
              <w:rPr>
                <w:rFonts w:ascii="Arial" w:hAnsi="Arial" w:eastAsia="Arial" w:cs="Arial"/>
                <w:b w:val="0"/>
                <w:bCs w:val="0"/>
                <w:color w:val="000000"/>
                <w:sz w:val="18"/>
                <w:szCs w:val="18"/>
              </w:rPr>
              <w:t>Unit cell, basis atoms</w:t>
            </w:r>
          </w:p>
        </w:tc>
        <w:tc>
          <w:tcPr>
            <w:tcW w:w="2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7AE6A8">
            <w:pPr>
              <w:jc w:val="left"/>
            </w:pPr>
            <w:r>
              <w:rPr>
                <w:rFonts w:ascii="Arial" w:hAnsi="Arial" w:eastAsia="Arial" w:cs="Arial"/>
                <w:b w:val="0"/>
                <w:bCs w:val="0"/>
                <w:color w:val="000000"/>
                <w:sz w:val="18"/>
                <w:szCs w:val="18"/>
              </w:rPr>
              <w:t>Standard QM</w:t>
            </w:r>
          </w:p>
        </w:tc>
      </w:tr>
      <w:tr w14:paraId="63D7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15591B9B">
            <w:pPr>
              <w:jc w:val="left"/>
            </w:pPr>
            <w:r>
              <w:rPr>
                <w:rFonts w:ascii="Arial" w:hAnsi="Arial" w:eastAsia="Arial" w:cs="Arial"/>
                <w:b w:val="0"/>
                <w:bCs w:val="0"/>
                <w:color w:val="000000"/>
                <w:sz w:val="18"/>
                <w:szCs w:val="18"/>
              </w:rPr>
              <w:t>Stellar</w:t>
            </w:r>
          </w:p>
        </w:tc>
        <w:tc>
          <w:tcPr>
            <w:tcW w:w="2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AF22063">
            <w:pPr>
              <w:jc w:val="left"/>
            </w:pPr>
            <w:r>
              <w:rPr>
                <w:rFonts w:ascii="Arial" w:hAnsi="Arial" w:eastAsia="Arial" w:cs="Arial"/>
                <w:b w:val="0"/>
                <w:bCs w:val="0"/>
                <w:color w:val="000000"/>
                <w:sz w:val="18"/>
                <w:szCs w:val="18"/>
              </w:rPr>
              <w:t>Star formation in molecular clouds</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13D5289B">
            <w:pPr>
              <w:jc w:val="left"/>
            </w:pPr>
            <w:r>
              <w:rPr>
                <w:rFonts w:ascii="Arial" w:hAnsi="Arial" w:eastAsia="Arial" w:cs="Arial"/>
                <w:b w:val="0"/>
                <w:bCs w:val="0"/>
                <w:color w:val="000000"/>
                <w:sz w:val="18"/>
                <w:szCs w:val="18"/>
              </w:rPr>
              <w:t>Crystal nucleation from melt</w:t>
            </w:r>
          </w:p>
        </w:tc>
        <w:tc>
          <w:tcPr>
            <w:tcW w:w="24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500A3DFB">
            <w:pPr>
              <w:jc w:val="left"/>
            </w:pPr>
            <w:r>
              <w:rPr>
                <w:rFonts w:ascii="Arial" w:hAnsi="Arial" w:eastAsia="Arial" w:cs="Arial"/>
                <w:b w:val="0"/>
                <w:bCs w:val="0"/>
                <w:color w:val="000000"/>
                <w:sz w:val="18"/>
                <w:szCs w:val="18"/>
              </w:rPr>
              <w:t>McKee &amp; Ostriker (2007) [19]</w:t>
            </w:r>
          </w:p>
        </w:tc>
      </w:tr>
      <w:tr w14:paraId="63C2F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16D628">
            <w:pPr>
              <w:jc w:val="left"/>
            </w:pPr>
            <w:r>
              <w:rPr>
                <w:rFonts w:ascii="Arial" w:hAnsi="Arial" w:eastAsia="Arial" w:cs="Arial"/>
                <w:b w:val="0"/>
                <w:bCs w:val="0"/>
                <w:color w:val="000000"/>
                <w:sz w:val="18"/>
                <w:szCs w:val="18"/>
              </w:rPr>
              <w:t>Galactic</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E198F4">
            <w:pPr>
              <w:jc w:val="left"/>
            </w:pPr>
            <w:r>
              <w:rPr>
                <w:rFonts w:ascii="Arial" w:hAnsi="Arial" w:eastAsia="Arial" w:cs="Arial"/>
                <w:b w:val="0"/>
                <w:bCs w:val="0"/>
                <w:color w:val="000000"/>
                <w:sz w:val="18"/>
                <w:szCs w:val="18"/>
              </w:rPr>
              <w:t>Galaxy formation in DM halos</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C26DBA">
            <w:pPr>
              <w:jc w:val="left"/>
            </w:pPr>
            <w:r>
              <w:rPr>
                <w:rFonts w:ascii="Arial" w:hAnsi="Arial" w:eastAsia="Arial" w:cs="Arial"/>
                <w:b w:val="0"/>
                <w:bCs w:val="0"/>
                <w:color w:val="000000"/>
                <w:sz w:val="18"/>
                <w:szCs w:val="18"/>
              </w:rPr>
              <w:t>Grain growth from nuclei</w:t>
            </w:r>
          </w:p>
        </w:tc>
        <w:tc>
          <w:tcPr>
            <w:tcW w:w="2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6A199D">
            <w:pPr>
              <w:jc w:val="left"/>
            </w:pPr>
            <w:r>
              <w:rPr>
                <w:rFonts w:ascii="Arial" w:hAnsi="Arial" w:eastAsia="Arial" w:cs="Arial"/>
                <w:b w:val="0"/>
                <w:bCs w:val="0"/>
                <w:color w:val="000000"/>
                <w:sz w:val="18"/>
                <w:szCs w:val="18"/>
              </w:rPr>
              <w:t>White &amp; Rees (1978) [20]</w:t>
            </w:r>
          </w:p>
        </w:tc>
      </w:tr>
      <w:tr w14:paraId="1C966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EE518F1">
            <w:pPr>
              <w:jc w:val="left"/>
            </w:pPr>
            <w:r>
              <w:rPr>
                <w:rFonts w:ascii="Arial" w:hAnsi="Arial" w:eastAsia="Arial" w:cs="Arial"/>
                <w:b w:val="0"/>
                <w:bCs w:val="0"/>
                <w:color w:val="000000"/>
                <w:sz w:val="18"/>
                <w:szCs w:val="18"/>
              </w:rPr>
              <w:t>Cosmic web</w:t>
            </w:r>
          </w:p>
        </w:tc>
        <w:tc>
          <w:tcPr>
            <w:tcW w:w="2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56A5FB70">
            <w:pPr>
              <w:jc w:val="left"/>
            </w:pPr>
            <w:r>
              <w:rPr>
                <w:rFonts w:ascii="Arial" w:hAnsi="Arial" w:eastAsia="Arial" w:cs="Arial"/>
                <w:b w:val="0"/>
                <w:bCs w:val="0"/>
                <w:color w:val="000000"/>
                <w:sz w:val="18"/>
                <w:szCs w:val="18"/>
              </w:rPr>
              <w:t>Filaments, walls, cluster nodes</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58E10F32">
            <w:pPr>
              <w:jc w:val="left"/>
            </w:pPr>
            <w:r>
              <w:rPr>
                <w:rFonts w:ascii="Arial" w:hAnsi="Arial" w:eastAsia="Arial" w:cs="Arial"/>
                <w:b w:val="0"/>
                <w:bCs w:val="0"/>
                <w:color w:val="000000"/>
                <w:sz w:val="18"/>
                <w:szCs w:val="18"/>
              </w:rPr>
              <w:t>Grain boundaries, triple junctions</w:t>
            </w:r>
          </w:p>
        </w:tc>
        <w:tc>
          <w:tcPr>
            <w:tcW w:w="24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866B5B4">
            <w:pPr>
              <w:jc w:val="left"/>
            </w:pPr>
            <w:r>
              <w:rPr>
                <w:rFonts w:ascii="Arial" w:hAnsi="Arial" w:eastAsia="Arial" w:cs="Arial"/>
                <w:b w:val="0"/>
                <w:bCs w:val="0"/>
                <w:color w:val="000000"/>
                <w:sz w:val="18"/>
                <w:szCs w:val="18"/>
              </w:rPr>
              <w:t>Bond et al. (1996) [21]</w:t>
            </w:r>
          </w:p>
        </w:tc>
      </w:tr>
      <w:tr w14:paraId="06738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48B40D">
            <w:pPr>
              <w:jc w:val="left"/>
            </w:pPr>
            <w:r>
              <w:rPr>
                <w:rFonts w:ascii="Arial" w:hAnsi="Arial" w:eastAsia="Arial" w:cs="Arial"/>
                <w:b w:val="0"/>
                <w:bCs w:val="0"/>
                <w:color w:val="000000"/>
                <w:sz w:val="18"/>
                <w:szCs w:val="18"/>
              </w:rPr>
              <w:t>BAO scale (~147 Mpc)</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F0D615">
            <w:pPr>
              <w:jc w:val="left"/>
            </w:pPr>
            <w:r>
              <w:rPr>
                <w:rFonts w:ascii="Arial" w:hAnsi="Arial" w:eastAsia="Arial" w:cs="Arial"/>
                <w:b w:val="0"/>
                <w:bCs w:val="0"/>
                <w:color w:val="000000"/>
                <w:sz w:val="18"/>
                <w:szCs w:val="18"/>
              </w:rPr>
              <w:t>Baryon acoustic oscillation peak</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2E31C0">
            <w:pPr>
              <w:jc w:val="left"/>
            </w:pPr>
            <w:r>
              <w:rPr>
                <w:rFonts w:ascii="Arial" w:hAnsi="Arial" w:eastAsia="Arial" w:cs="Arial"/>
                <w:b w:val="0"/>
                <w:bCs w:val="0"/>
                <w:color w:val="000000"/>
                <w:sz w:val="18"/>
                <w:szCs w:val="18"/>
              </w:rPr>
              <w:t>Lattice constant (Bragg spacing)</w:t>
            </w:r>
          </w:p>
        </w:tc>
        <w:tc>
          <w:tcPr>
            <w:tcW w:w="2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2A0E55">
            <w:pPr>
              <w:jc w:val="left"/>
            </w:pPr>
            <w:r>
              <w:rPr>
                <w:rFonts w:ascii="Arial" w:hAnsi="Arial" w:eastAsia="Arial" w:cs="Arial"/>
                <w:b w:val="0"/>
                <w:bCs w:val="0"/>
                <w:color w:val="000000"/>
                <w:sz w:val="18"/>
                <w:szCs w:val="18"/>
              </w:rPr>
              <w:t>Eisenstein et al. (2005) [7]</w:t>
            </w:r>
          </w:p>
        </w:tc>
      </w:tr>
      <w:tr w14:paraId="584C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5F2490A4">
            <w:pPr>
              <w:jc w:val="left"/>
            </w:pPr>
            <w:r>
              <w:rPr>
                <w:rFonts w:ascii="Arial" w:hAnsi="Arial" w:eastAsia="Arial" w:cs="Arial"/>
                <w:b w:val="0"/>
                <w:bCs w:val="0"/>
                <w:color w:val="000000"/>
                <w:sz w:val="18"/>
                <w:szCs w:val="18"/>
              </w:rPr>
              <w:t>Higher dimensions</w:t>
            </w:r>
          </w:p>
        </w:tc>
        <w:tc>
          <w:tcPr>
            <w:tcW w:w="2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E7E286D">
            <w:pPr>
              <w:jc w:val="left"/>
            </w:pPr>
            <w:r>
              <w:rPr>
                <w:rFonts w:ascii="Arial" w:hAnsi="Arial" w:eastAsia="Arial" w:cs="Arial"/>
                <w:b w:val="0"/>
                <w:bCs w:val="0"/>
                <w:color w:val="000000"/>
                <w:sz w:val="18"/>
                <w:szCs w:val="18"/>
              </w:rPr>
              <w:t>Brane/defect intersections with 3D slice</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0CFED80">
            <w:pPr>
              <w:jc w:val="left"/>
            </w:pPr>
            <w:r>
              <w:rPr>
                <w:rFonts w:ascii="Arial" w:hAnsi="Arial" w:eastAsia="Arial" w:cs="Arial"/>
                <w:b w:val="0"/>
                <w:bCs w:val="0"/>
                <w:color w:val="000000"/>
                <w:sz w:val="18"/>
                <w:szCs w:val="18"/>
              </w:rPr>
              <w:t>Seed dislocations initiating grains</w:t>
            </w:r>
          </w:p>
        </w:tc>
        <w:tc>
          <w:tcPr>
            <w:tcW w:w="24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FDF0D6B">
            <w:pPr>
              <w:jc w:val="left"/>
            </w:pPr>
            <w:r>
              <w:rPr>
                <w:rFonts w:ascii="Arial" w:hAnsi="Arial" w:eastAsia="Arial" w:cs="Arial"/>
                <w:b w:val="0"/>
                <w:bCs w:val="0"/>
                <w:color w:val="000000"/>
                <w:sz w:val="18"/>
                <w:szCs w:val="18"/>
              </w:rPr>
              <w:t>Dvali et al. (2000) [22]</w:t>
            </w:r>
          </w:p>
        </w:tc>
      </w:tr>
    </w:tbl>
    <w:p w14:paraId="7CFBE42E">
      <w:pPr>
        <w:spacing w:before="60" w:after="200"/>
        <w:jc w:val="center"/>
      </w:pPr>
      <w:r>
        <w:rPr>
          <w:rFonts w:ascii="Arial" w:hAnsi="Arial" w:eastAsia="Arial" w:cs="Arial"/>
          <w:i/>
          <w:iCs/>
          <w:color w:val="4A5568"/>
          <w:sz w:val="20"/>
          <w:szCs w:val="20"/>
        </w:rPr>
        <w:t>Table 1. Mapping of CCDR claims onto existing theoretical frameworks. CCDR does not require any of these frameworks individually but is consistent with all of them and borrows formal elements from each.</w:t>
      </w:r>
    </w:p>
    <w:p w14:paraId="0A1F2D8D">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holographic correspondence [30–32] is the closest antecedent to the dimensional projection mechanism described in Section 5. However, existing holographic models place the observer at the boundary of the higher-dimensional space, whereas CCDR places the observer inside the bulk, within a unit cell of the projected lattice. This difference has observational consequences: boundary observers see the full holographic screen, while bulk observers (in CCDR) see only the local unit cell phonon statistics, which appear quantum mechanical.</w:t>
      </w:r>
    </w:p>
    <w:p w14:paraId="6F4F5585">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Brane cosmology [29,36] provides the geometric framework for the embedding of Section 4. The Randall-Sundrum II model [29] is particularly relevant: a single brane with an infinite extra dimension warped by a bulk cosmological constant reproduces 4D Newtonian gravity at low energies. CCDR requires brane intersections or bulk defects as nucleation seeds — an extension that is natural in the context of the ekpyrotic and cyclic cosmological models [37].</w:t>
      </w:r>
    </w:p>
    <w:p w14:paraId="549CD147">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Causal dynamical triangulations (CDT) [38] and loop quantum gravity (LQG) [39] both attempt to build spacetime from discrete fundamental units whose collective behaviour yields continuum geometry. CCDR is agnostic about the specific discretisation scheme but is consistent with both: the crystal lattice of CCDR could be the emergent large-scale order of a CDT triangulation or a LQG spin network.</w:t>
      </w:r>
    </w:p>
    <w:p w14:paraId="7BEE8CA5">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Stochastic electrodynamics (SED) [40] and Nelson's stochastic mechanics [41] both derive quantum mechanical behaviour from classical particles buffeted by a real stochastic vacuum field. CCDR provides a physical origin for this field: it is the phonon thermal bath of the cosmological crystal lattice. The zero-point field of SED is the acoustic ground state of the CCDR lattice.</w:t>
      </w:r>
    </w:p>
    <w:p w14:paraId="196EB2A5">
      <w:pPr>
        <w:spacing w:before="360" w:after="120"/>
      </w:pPr>
      <w:r>
        <w:rPr>
          <w:rFonts w:ascii="Arial" w:hAnsi="Arial" w:eastAsia="Arial" w:cs="Arial"/>
          <w:b/>
          <w:bCs/>
          <w:color w:val="1A1A2E"/>
          <w:sz w:val="24"/>
          <w:szCs w:val="24"/>
        </w:rPr>
        <w:t>8. LIMITATIONS AND OPEN PROBLEMS</w:t>
      </w:r>
    </w:p>
    <w:p w14:paraId="76BD4250">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CCDR as presented here is a structural framework rather than a complete quantitative theory. Several open problems must be resolved before it can be considered a fully developed theoretical programme.</w:t>
      </w:r>
    </w:p>
    <w:p w14:paraId="591072D7">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8.1 Dimension specification. The framework requires a specific dimensionality N of the bulk space. String theory provides N = 10 or N = 11; M-theory provides N = 11. CCDR makes no prediction for N and is currently consistent with any N &gt; 4. A mechanism that dynamically selects N — or a set of observational constraints that would bound it — is needed.</w:t>
      </w:r>
    </w:p>
    <w:p w14:paraId="67523AEF">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8.2 Projection mechanism. The specific mechanism by which the N-dimensional bulk dynamics is projected onto the 3+1 dimensional brane must be specified. In the Randall-Sundrum framework this is the warp factor; in CDT it is the causal structure of the triangulation. CCDR requires but does not supply this mechanism.</w:t>
      </w:r>
    </w:p>
    <w:p w14:paraId="03310D1C">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8.3 Dimension selection. Why is the projected slice 3+1 dimensional? The anthropic argument — that stable atoms and closed planetary orbits require exactly 3 spatial dimensions [42] — is consistent with CCDR but does not derive 3+1 from first principles. A dynamical attractor mechanism that selects 3+1D as the stable low-energy phase of the crystallisation is needed.</w:t>
      </w:r>
    </w:p>
    <w:p w14:paraId="15AE222C">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8.4 The Born rule derivation. Section 5.2 sketches a derivation of the Born rule from geometric projection. A rigorous proof, with explicit control of the large-N limit and demonstration that the resulting statistics are exactly those of standard quantum mechanics (including all interference effects), is required before this claim can be treated as more than suggestive.</w:t>
      </w:r>
    </w:p>
    <w:p w14:paraId="2CD71195">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8.5 RVM running in higher dimensions. The RVM equation (3) is formulated in 4D. Its extension to N dimensions will modify the form of the running terms: the H² term becomes H^{N-2} and the H⁴ term becomes H^N. Dimensional reduction then projects these back to the observed 4D running. Whether this projection reproduces the observed ν ~ 10⁻³ naturally — or whether fine-tuning is required — is an open calculation.</w:t>
      </w:r>
    </w:p>
    <w:p w14:paraId="6F31893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8.6 The cosmological constant problem. CCDR inherits rather than solves the cosmological constant problem. The C₀ floor of the RVM is the residual vacuum energy after the enormous cancellations of QFT divergences; CCDR does not explain why these cancellations are so precise. The framework reframes the question — from "why is Λ small?" to "why has the vacuum cooled so close to absolute zero?" — but both formulations ultimately require the same explanation.</w:t>
      </w:r>
    </w:p>
    <w:p w14:paraId="1E5C6FBF">
      <w:pPr>
        <w:spacing w:before="360" w:after="120"/>
      </w:pPr>
      <w:r>
        <w:rPr>
          <w:rFonts w:ascii="Arial" w:hAnsi="Arial" w:eastAsia="Arial" w:cs="Arial"/>
          <w:b/>
          <w:bCs/>
          <w:color w:val="1A1A2E"/>
          <w:sz w:val="24"/>
          <w:szCs w:val="24"/>
        </w:rPr>
        <w:t>9. CONCLUSION</w:t>
      </w:r>
    </w:p>
    <w:p w14:paraId="50D877C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We have developed crystallographic cosmology from dimensional reduction (CCDR), a theoretical framework that identifies the morphology of the cosmic web with the grain structure of a higher-dimensional phase transition. The three formal requirements for crystal growth — a supersaturated medium, nucleation triggers, and a preferred interaction length scale — are each realised in cosmological physics by the cooling RVM vacuum, higher-dimensional topological defects projecting onto the observable brane, and the BAO sound horizon respectively.</w:t>
      </w:r>
    </w:p>
    <w:p w14:paraId="5B96EF22">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framework makes three classes of observational predictions that distinguish it from ΛCDM and from generic dynamical dark energy models: a redshift-dependent shift in the effective BAO scale at the level δr*/r* ~ ν/2 ~ 5 × 10⁻⁴; non-Gaussian features in the matter bispectrum with hexagonal-symmetry topology at sub-BAO scales; and orientational correlations in cosmic filament axes extending beyond the BAO scale. All three predictions are within reach of current-generation spectroscopic surveys (DESI, Euclid, SKAO).</w:t>
      </w:r>
    </w:p>
    <w:p w14:paraId="6454F1B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Beyond its observational consequences, CCDR suggests a reinterpretation of quantum mechanical statistics: not as a fundamental axiom of nature but as the statistical description, available to observers confined to a 3+1 dimensional brane, of classical deterministic dynamics in a higher-dimensional bulk. The Born rule emerges from the geometry of projection; the uncertainty principle from the non-commutativity of projection operators; and Planck's constant from the irreducible thermal energy of the vacuum at its asymptotic de Sitter floor.</w:t>
      </w:r>
    </w:p>
    <w:p w14:paraId="69D04A8D">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We emphasise that CCDR is currently a structural framework with identified open problems rather than a complete quantitative theory. The central analogy between crystallographic grain formation and cosmic web morphology is, we argue, more than illustrative — the same mathematical formalism (Kibble mechanism, nucleation theory, Bragg diffraction) governs both systems. Whether the higher-dimensional nucleation mechanism can be made quantitatively precise, and whether the dimensional projection mechanism can be derived from a consistent quantum gravity programme, are questions we leave for future work.</w:t>
      </w:r>
    </w:p>
    <w:p w14:paraId="55CDB98B">
      <w:pPr>
        <w:pBdr>
          <w:bottom w:val="single" w:color="CCCCCC" w:sz="4" w:space="1"/>
        </w:pBdr>
        <w:spacing w:before="160" w:after="160"/>
      </w:pPr>
    </w:p>
    <w:p w14:paraId="5AEFC10A">
      <w:pPr>
        <w:spacing w:before="0" w:after="120"/>
      </w:pPr>
      <w:r>
        <w:rPr>
          <w:rFonts w:ascii="Arial" w:hAnsi="Arial" w:eastAsia="Arial" w:cs="Arial"/>
          <w:b/>
          <w:bCs/>
          <w:color w:val="1A1A2E"/>
          <w:sz w:val="24"/>
          <w:szCs w:val="24"/>
        </w:rPr>
        <w:t>Acknowledgements</w:t>
      </w:r>
    </w:p>
    <w:p w14:paraId="7069C0E6">
      <w:pPr>
        <w:spacing w:before="0" w:after="160" w:line="276" w:lineRule="auto"/>
        <w:ind w:firstLine="440"/>
        <w:jc w:val="both"/>
      </w:pPr>
      <w:r>
        <w:rPr>
          <w:rFonts w:ascii="Times New Roman" w:hAnsi="Times New Roman" w:eastAsia="Times New Roman" w:cs="Times New Roman"/>
          <w:b w:val="0"/>
          <w:bCs w:val="0"/>
          <w:i/>
          <w:iCs/>
          <w:color w:val="000000"/>
          <w:sz w:val="24"/>
          <w:szCs w:val="24"/>
        </w:rPr>
        <w:t>[Acknowledgements withheld for double-blind review]</w:t>
      </w:r>
    </w:p>
    <w:p w14:paraId="3A61DFF5">
      <w:pPr>
        <w:pBdr>
          <w:bottom w:val="single" w:color="CCCCCC" w:sz="4" w:space="1"/>
        </w:pBdr>
        <w:spacing w:before="160" w:after="160"/>
      </w:pPr>
    </w:p>
    <w:p w14:paraId="1EB2A228">
      <w:pPr>
        <w:spacing w:before="0" w:after="160"/>
      </w:pPr>
      <w:r>
        <w:rPr>
          <w:rFonts w:ascii="Arial" w:hAnsi="Arial" w:eastAsia="Arial" w:cs="Arial"/>
          <w:b/>
          <w:bCs/>
          <w:color w:val="1A1A2E"/>
          <w:sz w:val="24"/>
          <w:szCs w:val="24"/>
        </w:rPr>
        <w:t>References</w:t>
      </w:r>
    </w:p>
    <w:p w14:paraId="1D970748">
      <w:pPr>
        <w:spacing w:before="0" w:after="100"/>
        <w:ind w:left="540" w:hanging="540"/>
      </w:pPr>
      <w:r>
        <w:rPr>
          <w:rFonts w:ascii="Times New Roman" w:hAnsi="Times New Roman" w:eastAsia="Times New Roman" w:cs="Times New Roman"/>
          <w:b/>
          <w:bCs/>
          <w:color w:val="4A5568"/>
          <w:sz w:val="22"/>
          <w:szCs w:val="22"/>
        </w:rPr>
        <w:t xml:space="preserve">[1]  </w:t>
      </w:r>
      <w:r>
        <w:rPr>
          <w:rFonts w:ascii="Times New Roman" w:hAnsi="Times New Roman" w:eastAsia="Times New Roman" w:cs="Times New Roman"/>
          <w:color w:val="000000"/>
          <w:sz w:val="22"/>
          <w:szCs w:val="22"/>
        </w:rPr>
        <w:t>Peebles, P.J.E. &amp; Yu, J.T. (1970). Primeval adiabatic perturbation in an expanding universe. Astrophys. J. 162, 815.</w:t>
      </w:r>
    </w:p>
    <w:p w14:paraId="63F20472">
      <w:pPr>
        <w:spacing w:before="0" w:after="100"/>
        <w:ind w:left="540" w:hanging="540"/>
      </w:pPr>
      <w:r>
        <w:rPr>
          <w:rFonts w:ascii="Times New Roman" w:hAnsi="Times New Roman" w:eastAsia="Times New Roman" w:cs="Times New Roman"/>
          <w:b/>
          <w:bCs/>
          <w:color w:val="4A5568"/>
          <w:sz w:val="22"/>
          <w:szCs w:val="22"/>
        </w:rPr>
        <w:t xml:space="preserve">[2]  </w:t>
      </w:r>
      <w:r>
        <w:rPr>
          <w:rFonts w:ascii="Times New Roman" w:hAnsi="Times New Roman" w:eastAsia="Times New Roman" w:cs="Times New Roman"/>
          <w:color w:val="000000"/>
          <w:sz w:val="22"/>
          <w:szCs w:val="22"/>
        </w:rPr>
        <w:t>Sunyaev, R.A. &amp; Zel’dovich, Ya.B. (1970). Small-scale fluctuations of relic radiation. Astrophys. Space Sci. 7, 3.</w:t>
      </w:r>
    </w:p>
    <w:p w14:paraId="6B30EABE">
      <w:pPr>
        <w:spacing w:before="0" w:after="100"/>
        <w:ind w:left="540" w:hanging="540"/>
      </w:pPr>
      <w:r>
        <w:rPr>
          <w:rFonts w:ascii="Times New Roman" w:hAnsi="Times New Roman" w:eastAsia="Times New Roman" w:cs="Times New Roman"/>
          <w:b/>
          <w:bCs/>
          <w:color w:val="4A5568"/>
          <w:sz w:val="22"/>
          <w:szCs w:val="22"/>
        </w:rPr>
        <w:t xml:space="preserve">[3]  </w:t>
      </w:r>
      <w:r>
        <w:rPr>
          <w:rFonts w:ascii="Times New Roman" w:hAnsi="Times New Roman" w:eastAsia="Times New Roman" w:cs="Times New Roman"/>
          <w:color w:val="000000"/>
          <w:sz w:val="22"/>
          <w:szCs w:val="22"/>
        </w:rPr>
        <w:t>Eisenstein, D.J. et al. (2005). Detection of baryon acoustic oscillations in the large-scale correlation function of SDSS luminous red galaxies. Astrophys. J. 633, 560.</w:t>
      </w:r>
    </w:p>
    <w:p w14:paraId="2344F729">
      <w:pPr>
        <w:spacing w:before="0" w:after="100"/>
        <w:ind w:left="540" w:hanging="540"/>
      </w:pPr>
      <w:r>
        <w:rPr>
          <w:rFonts w:ascii="Times New Roman" w:hAnsi="Times New Roman" w:eastAsia="Times New Roman" w:cs="Times New Roman"/>
          <w:b/>
          <w:bCs/>
          <w:color w:val="4A5568"/>
          <w:sz w:val="22"/>
          <w:szCs w:val="22"/>
        </w:rPr>
        <w:t xml:space="preserve">[4]  </w:t>
      </w:r>
      <w:r>
        <w:rPr>
          <w:rFonts w:ascii="Times New Roman" w:hAnsi="Times New Roman" w:eastAsia="Times New Roman" w:cs="Times New Roman"/>
          <w:color w:val="000000"/>
          <w:sz w:val="22"/>
          <w:szCs w:val="22"/>
        </w:rPr>
        <w:t>Cole, S. et al. (2005). The 2dF Galaxy Redshift Survey: power-spectrum analysis of the final data set and cosmological implications. Mon. Not. R. Astron. Soc. 362, 505.</w:t>
      </w:r>
    </w:p>
    <w:p w14:paraId="492A201E">
      <w:pPr>
        <w:spacing w:before="0" w:after="100"/>
        <w:ind w:left="540" w:hanging="540"/>
      </w:pPr>
      <w:r>
        <w:rPr>
          <w:rFonts w:ascii="Times New Roman" w:hAnsi="Times New Roman" w:eastAsia="Times New Roman" w:cs="Times New Roman"/>
          <w:b/>
          <w:bCs/>
          <w:color w:val="4A5568"/>
          <w:sz w:val="22"/>
          <w:szCs w:val="22"/>
        </w:rPr>
        <w:t xml:space="preserve">[5]  </w:t>
      </w:r>
      <w:r>
        <w:rPr>
          <w:rFonts w:ascii="Times New Roman" w:hAnsi="Times New Roman" w:eastAsia="Times New Roman" w:cs="Times New Roman"/>
          <w:color w:val="000000"/>
          <w:sz w:val="22"/>
          <w:szCs w:val="22"/>
        </w:rPr>
        <w:t>Blake, C. &amp; Glazebrook, K. (2003). Probing dark energy using baryonic oscillations in the galaxy power spectrum as a cosmological ruler. Astrophys. J. 594, 665.</w:t>
      </w:r>
    </w:p>
    <w:p w14:paraId="3D080B52">
      <w:pPr>
        <w:spacing w:before="0" w:after="100"/>
        <w:ind w:left="540" w:hanging="540"/>
      </w:pPr>
      <w:r>
        <w:rPr>
          <w:rFonts w:ascii="Times New Roman" w:hAnsi="Times New Roman" w:eastAsia="Times New Roman" w:cs="Times New Roman"/>
          <w:b/>
          <w:bCs/>
          <w:color w:val="4A5568"/>
          <w:sz w:val="22"/>
          <w:szCs w:val="22"/>
        </w:rPr>
        <w:t xml:space="preserve">[6]  </w:t>
      </w:r>
      <w:r>
        <w:rPr>
          <w:rFonts w:ascii="Times New Roman" w:hAnsi="Times New Roman" w:eastAsia="Times New Roman" w:cs="Times New Roman"/>
          <w:color w:val="000000"/>
          <w:sz w:val="22"/>
          <w:szCs w:val="22"/>
        </w:rPr>
        <w:t>Seo, H.-J. &amp; Eisenstein, D.J. (2003). Probing dark energy with baryonic acoustic oscillations from future large galaxy redshift surveys. Astrophys. J. 598, 720.</w:t>
      </w:r>
    </w:p>
    <w:p w14:paraId="303C6FEC">
      <w:pPr>
        <w:spacing w:before="0" w:after="100"/>
        <w:ind w:left="540" w:hanging="540"/>
      </w:pPr>
      <w:r>
        <w:rPr>
          <w:rFonts w:ascii="Times New Roman" w:hAnsi="Times New Roman" w:eastAsia="Times New Roman" w:cs="Times New Roman"/>
          <w:b/>
          <w:bCs/>
          <w:color w:val="4A5568"/>
          <w:sz w:val="22"/>
          <w:szCs w:val="22"/>
        </w:rPr>
        <w:t xml:space="preserve">[7]  </w:t>
      </w:r>
      <w:r>
        <w:rPr>
          <w:rFonts w:ascii="Times New Roman" w:hAnsi="Times New Roman" w:eastAsia="Times New Roman" w:cs="Times New Roman"/>
          <w:color w:val="000000"/>
          <w:sz w:val="22"/>
          <w:szCs w:val="22"/>
        </w:rPr>
        <w:t>DESI Collaboration (2025). DESI DR2 baryon acoustic oscillations from galaxies and quasars. arXiv:2503.14738.</w:t>
      </w:r>
    </w:p>
    <w:p w14:paraId="3D154CE4">
      <w:pPr>
        <w:spacing w:before="0" w:after="100"/>
        <w:ind w:left="540" w:hanging="540"/>
      </w:pPr>
      <w:r>
        <w:rPr>
          <w:rFonts w:ascii="Times New Roman" w:hAnsi="Times New Roman" w:eastAsia="Times New Roman" w:cs="Times New Roman"/>
          <w:b/>
          <w:bCs/>
          <w:color w:val="4A5568"/>
          <w:sz w:val="22"/>
          <w:szCs w:val="22"/>
        </w:rPr>
        <w:t xml:space="preserve">[8]  </w:t>
      </w:r>
      <w:r>
        <w:rPr>
          <w:rFonts w:ascii="Times New Roman" w:hAnsi="Times New Roman" w:eastAsia="Times New Roman" w:cs="Times New Roman"/>
          <w:color w:val="000000"/>
          <w:sz w:val="22"/>
          <w:szCs w:val="22"/>
        </w:rPr>
        <w:t>Planck Collaboration (2020). Planck 2018 results. VI. Cosmological parameters. Astron. Astrophys. 641, A6.</w:t>
      </w:r>
    </w:p>
    <w:p w14:paraId="047F51C2">
      <w:pPr>
        <w:spacing w:before="0" w:after="100"/>
        <w:ind w:left="540" w:hanging="540"/>
      </w:pPr>
      <w:r>
        <w:rPr>
          <w:rFonts w:ascii="Times New Roman" w:hAnsi="Times New Roman" w:eastAsia="Times New Roman" w:cs="Times New Roman"/>
          <w:b/>
          <w:bCs/>
          <w:color w:val="4A5568"/>
          <w:sz w:val="22"/>
          <w:szCs w:val="22"/>
        </w:rPr>
        <w:t xml:space="preserve">[9]  </w:t>
      </w:r>
      <w:r>
        <w:rPr>
          <w:rFonts w:ascii="Times New Roman" w:hAnsi="Times New Roman" w:eastAsia="Times New Roman" w:cs="Times New Roman"/>
          <w:color w:val="000000"/>
          <w:sz w:val="22"/>
          <w:szCs w:val="22"/>
        </w:rPr>
        <w:t>Bond, J.R., Kofman, L. &amp; Pogosyan, D. (1996). How filaments are woven into the cosmic web. Nature 380, 603.</w:t>
      </w:r>
    </w:p>
    <w:p w14:paraId="57639832">
      <w:pPr>
        <w:spacing w:before="0" w:after="100"/>
        <w:ind w:left="540" w:hanging="540"/>
      </w:pPr>
      <w:r>
        <w:rPr>
          <w:rFonts w:ascii="Times New Roman" w:hAnsi="Times New Roman" w:eastAsia="Times New Roman" w:cs="Times New Roman"/>
          <w:b/>
          <w:bCs/>
          <w:color w:val="4A5568"/>
          <w:sz w:val="22"/>
          <w:szCs w:val="22"/>
        </w:rPr>
        <w:t xml:space="preserve">[10]  </w:t>
      </w:r>
      <w:r>
        <w:rPr>
          <w:rFonts w:ascii="Times New Roman" w:hAnsi="Times New Roman" w:eastAsia="Times New Roman" w:cs="Times New Roman"/>
          <w:color w:val="000000"/>
          <w:sz w:val="22"/>
          <w:szCs w:val="22"/>
        </w:rPr>
        <w:t>Cautun, M., van de Weygaert, R. &amp; Jones, B.J.T. (2013). NEXUS: tracing the cosmic web connection. Mon. Not. R. Astron. Soc. 429, 1286.</w:t>
      </w:r>
    </w:p>
    <w:p w14:paraId="14AFE645">
      <w:pPr>
        <w:spacing w:before="0" w:after="100"/>
        <w:ind w:left="540" w:hanging="540"/>
      </w:pPr>
      <w:r>
        <w:rPr>
          <w:rFonts w:ascii="Times New Roman" w:hAnsi="Times New Roman" w:eastAsia="Times New Roman" w:cs="Times New Roman"/>
          <w:b/>
          <w:bCs/>
          <w:color w:val="4A5568"/>
          <w:sz w:val="22"/>
          <w:szCs w:val="22"/>
        </w:rPr>
        <w:t xml:space="preserve">[11]  </w:t>
      </w:r>
      <w:r>
        <w:rPr>
          <w:rFonts w:ascii="Times New Roman" w:hAnsi="Times New Roman" w:eastAsia="Times New Roman" w:cs="Times New Roman"/>
          <w:color w:val="000000"/>
          <w:sz w:val="22"/>
          <w:szCs w:val="22"/>
        </w:rPr>
        <w:t>Hahn, O., Porciani, C., Carollo, C.M. &amp; Dekel, A. (2007). Properties of dark matter haloes in clusters, filaments, sheets, and voids. Mon. Not. R. Astron. Soc. 375, 489.</w:t>
      </w:r>
    </w:p>
    <w:p w14:paraId="2AE549F6">
      <w:pPr>
        <w:spacing w:before="0" w:after="100"/>
        <w:ind w:left="540" w:hanging="540"/>
      </w:pPr>
      <w:r>
        <w:rPr>
          <w:rFonts w:ascii="Times New Roman" w:hAnsi="Times New Roman" w:eastAsia="Times New Roman" w:cs="Times New Roman"/>
          <w:b/>
          <w:bCs/>
          <w:color w:val="4A5568"/>
          <w:sz w:val="22"/>
          <w:szCs w:val="22"/>
        </w:rPr>
        <w:t xml:space="preserve">[12]  </w:t>
      </w:r>
      <w:r>
        <w:rPr>
          <w:rFonts w:ascii="Times New Roman" w:hAnsi="Times New Roman" w:eastAsia="Times New Roman" w:cs="Times New Roman"/>
          <w:color w:val="000000"/>
          <w:sz w:val="22"/>
          <w:szCs w:val="22"/>
        </w:rPr>
        <w:t>Solà, J. (2013). Cosmological constant and vacuum energy: old and new ideas. J. Phys. Conf. Ser. 453, 012015.</w:t>
      </w:r>
    </w:p>
    <w:p w14:paraId="5CB5FBAC">
      <w:pPr>
        <w:spacing w:before="0" w:after="100"/>
        <w:ind w:left="540" w:hanging="540"/>
      </w:pPr>
      <w:r>
        <w:rPr>
          <w:rFonts w:ascii="Times New Roman" w:hAnsi="Times New Roman" w:eastAsia="Times New Roman" w:cs="Times New Roman"/>
          <w:b/>
          <w:bCs/>
          <w:color w:val="4A5568"/>
          <w:sz w:val="22"/>
          <w:szCs w:val="22"/>
        </w:rPr>
        <w:t xml:space="preserve">[13]  </w:t>
      </w:r>
      <w:r>
        <w:rPr>
          <w:rFonts w:ascii="Times New Roman" w:hAnsi="Times New Roman" w:eastAsia="Times New Roman" w:cs="Times New Roman"/>
          <w:color w:val="000000"/>
          <w:sz w:val="22"/>
          <w:szCs w:val="22"/>
        </w:rPr>
        <w:t>Solà Perracàulo, J., Gómez-Valent, A., de Cruz Pérez, J. &amp; Moreno-Pulido, C. (2023). Running vacuum model in quantum field theory in curved spacetime: a special viewpoint. Eur. Phys. J. C 83, 516.</w:t>
      </w:r>
    </w:p>
    <w:p w14:paraId="37E1093D">
      <w:pPr>
        <w:spacing w:before="0" w:after="100"/>
        <w:ind w:left="540" w:hanging="540"/>
      </w:pPr>
      <w:r>
        <w:rPr>
          <w:rFonts w:ascii="Times New Roman" w:hAnsi="Times New Roman" w:eastAsia="Times New Roman" w:cs="Times New Roman"/>
          <w:b/>
          <w:bCs/>
          <w:color w:val="4A5568"/>
          <w:sz w:val="22"/>
          <w:szCs w:val="22"/>
        </w:rPr>
        <w:t xml:space="preserve">[14]  </w:t>
      </w:r>
      <w:r>
        <w:rPr>
          <w:rFonts w:ascii="Times New Roman" w:hAnsi="Times New Roman" w:eastAsia="Times New Roman" w:cs="Times New Roman"/>
          <w:color w:val="000000"/>
          <w:sz w:val="22"/>
          <w:szCs w:val="22"/>
        </w:rPr>
        <w:t>Kibble, T.W.B. (1976). Topology of cosmic domains and strings. J. Phys. A 9, 1387.</w:t>
      </w:r>
    </w:p>
    <w:p w14:paraId="7661BAF1">
      <w:pPr>
        <w:spacing w:before="0" w:after="100"/>
        <w:ind w:left="540" w:hanging="540"/>
      </w:pPr>
      <w:r>
        <w:rPr>
          <w:rFonts w:ascii="Times New Roman" w:hAnsi="Times New Roman" w:eastAsia="Times New Roman" w:cs="Times New Roman"/>
          <w:b/>
          <w:bCs/>
          <w:color w:val="4A5568"/>
          <w:sz w:val="22"/>
          <w:szCs w:val="22"/>
        </w:rPr>
        <w:t xml:space="preserve">[15]  </w:t>
      </w:r>
      <w:r>
        <w:rPr>
          <w:rFonts w:ascii="Times New Roman" w:hAnsi="Times New Roman" w:eastAsia="Times New Roman" w:cs="Times New Roman"/>
          <w:color w:val="000000"/>
          <w:sz w:val="22"/>
          <w:szCs w:val="22"/>
        </w:rPr>
        <w:t>Dvali, G.R., Gabadadze, G. &amp; Porrati, M. (2000). 4D gravity on a brane in 5D Minkowski space. Phys. Lett. B 485, 208.</w:t>
      </w:r>
    </w:p>
    <w:p w14:paraId="002C4E22">
      <w:pPr>
        <w:spacing w:before="0" w:after="100"/>
        <w:ind w:left="540" w:hanging="540"/>
      </w:pPr>
      <w:r>
        <w:rPr>
          <w:rFonts w:ascii="Times New Roman" w:hAnsi="Times New Roman" w:eastAsia="Times New Roman" w:cs="Times New Roman"/>
          <w:b/>
          <w:bCs/>
          <w:color w:val="4A5568"/>
          <w:sz w:val="22"/>
          <w:szCs w:val="22"/>
        </w:rPr>
        <w:t xml:space="preserve">[16]  </w:t>
      </w:r>
      <w:r>
        <w:rPr>
          <w:rFonts w:ascii="Times New Roman" w:hAnsi="Times New Roman" w:eastAsia="Times New Roman" w:cs="Times New Roman"/>
          <w:color w:val="000000"/>
          <w:sz w:val="22"/>
          <w:szCs w:val="22"/>
        </w:rPr>
        <w:t>Zurek, W.H. (1985). Cosmological experiments in superfluid helium? Nature 317, 505.</w:t>
      </w:r>
    </w:p>
    <w:p w14:paraId="7024F6FF">
      <w:pPr>
        <w:spacing w:before="0" w:after="100"/>
        <w:ind w:left="540" w:hanging="540"/>
      </w:pPr>
      <w:r>
        <w:rPr>
          <w:rFonts w:ascii="Times New Roman" w:hAnsi="Times New Roman" w:eastAsia="Times New Roman" w:cs="Times New Roman"/>
          <w:b/>
          <w:bCs/>
          <w:color w:val="4A5568"/>
          <w:sz w:val="22"/>
          <w:szCs w:val="22"/>
        </w:rPr>
        <w:t xml:space="preserve">[17]  </w:t>
      </w:r>
      <w:r>
        <w:rPr>
          <w:rFonts w:ascii="Times New Roman" w:hAnsi="Times New Roman" w:eastAsia="Times New Roman" w:cs="Times New Roman"/>
          <w:color w:val="000000"/>
          <w:sz w:val="22"/>
          <w:szCs w:val="22"/>
        </w:rPr>
        <w:t>Wheeler, J.A. (1955). Geons. Phys. Rev. 97, 511.</w:t>
      </w:r>
    </w:p>
    <w:p w14:paraId="34087BC4">
      <w:pPr>
        <w:spacing w:before="0" w:after="100"/>
        <w:ind w:left="540" w:hanging="540"/>
      </w:pPr>
      <w:r>
        <w:rPr>
          <w:rFonts w:ascii="Times New Roman" w:hAnsi="Times New Roman" w:eastAsia="Times New Roman" w:cs="Times New Roman"/>
          <w:b/>
          <w:bCs/>
          <w:color w:val="4A5568"/>
          <w:sz w:val="22"/>
          <w:szCs w:val="22"/>
        </w:rPr>
        <w:t xml:space="preserve">[18]  </w:t>
      </w:r>
      <w:r>
        <w:rPr>
          <w:rFonts w:ascii="Times New Roman" w:hAnsi="Times New Roman" w:eastAsia="Times New Roman" w:cs="Times New Roman"/>
          <w:color w:val="000000"/>
          <w:sz w:val="22"/>
          <w:szCs w:val="22"/>
        </w:rPr>
        <w:t>Casimir, H.B.G. (1948). On the attraction between two perfectly conducting plates. Proc. K. Ned. Akad. Wet. 51, 793.</w:t>
      </w:r>
    </w:p>
    <w:p w14:paraId="0010803C">
      <w:pPr>
        <w:spacing w:before="0" w:after="100"/>
        <w:ind w:left="540" w:hanging="540"/>
      </w:pPr>
      <w:r>
        <w:rPr>
          <w:rFonts w:ascii="Times New Roman" w:hAnsi="Times New Roman" w:eastAsia="Times New Roman" w:cs="Times New Roman"/>
          <w:b/>
          <w:bCs/>
          <w:color w:val="4A5568"/>
          <w:sz w:val="22"/>
          <w:szCs w:val="22"/>
        </w:rPr>
        <w:t xml:space="preserve">[19]  </w:t>
      </w:r>
      <w:r>
        <w:rPr>
          <w:rFonts w:ascii="Times New Roman" w:hAnsi="Times New Roman" w:eastAsia="Times New Roman" w:cs="Times New Roman"/>
          <w:color w:val="000000"/>
          <w:sz w:val="22"/>
          <w:szCs w:val="22"/>
        </w:rPr>
        <w:t>McKee, C.F. &amp; Ostriker, E.C. (2007). Theory of star formation. Annu. Rev. Astron. Astrophys. 45, 565.</w:t>
      </w:r>
    </w:p>
    <w:p w14:paraId="00304FAC">
      <w:pPr>
        <w:spacing w:before="0" w:after="100"/>
        <w:ind w:left="540" w:hanging="540"/>
      </w:pPr>
      <w:r>
        <w:rPr>
          <w:rFonts w:ascii="Times New Roman" w:hAnsi="Times New Roman" w:eastAsia="Times New Roman" w:cs="Times New Roman"/>
          <w:b/>
          <w:bCs/>
          <w:color w:val="4A5568"/>
          <w:sz w:val="22"/>
          <w:szCs w:val="22"/>
        </w:rPr>
        <w:t xml:space="preserve">[20]  </w:t>
      </w:r>
      <w:r>
        <w:rPr>
          <w:rFonts w:ascii="Times New Roman" w:hAnsi="Times New Roman" w:eastAsia="Times New Roman" w:cs="Times New Roman"/>
          <w:color w:val="000000"/>
          <w:sz w:val="22"/>
          <w:szCs w:val="22"/>
        </w:rPr>
        <w:t>White, S.D.M. &amp; Rees, M.J. (1978). Core condensation in heavy halos. Mon. Not. R. Astron. Soc. 183, 341.</w:t>
      </w:r>
    </w:p>
    <w:p w14:paraId="287D0E79">
      <w:pPr>
        <w:spacing w:before="0" w:after="100"/>
        <w:ind w:left="540" w:hanging="540"/>
      </w:pPr>
      <w:r>
        <w:rPr>
          <w:rFonts w:ascii="Times New Roman" w:hAnsi="Times New Roman" w:eastAsia="Times New Roman" w:cs="Times New Roman"/>
          <w:b/>
          <w:bCs/>
          <w:color w:val="4A5568"/>
          <w:sz w:val="22"/>
          <w:szCs w:val="22"/>
        </w:rPr>
        <w:t xml:space="preserve">[21]  </w:t>
      </w:r>
      <w:r>
        <w:rPr>
          <w:rFonts w:ascii="Times New Roman" w:hAnsi="Times New Roman" w:eastAsia="Times New Roman" w:cs="Times New Roman"/>
          <w:color w:val="000000"/>
          <w:sz w:val="22"/>
          <w:szCs w:val="22"/>
        </w:rPr>
        <w:t>Bond, J.R., Kofman, L. &amp; Pogosyan, D. (1996). How filaments are woven into the cosmic web. Nature 380, 603.</w:t>
      </w:r>
    </w:p>
    <w:p w14:paraId="34893F31">
      <w:pPr>
        <w:spacing w:before="0" w:after="100"/>
        <w:ind w:left="540" w:hanging="540"/>
      </w:pPr>
      <w:r>
        <w:rPr>
          <w:rFonts w:ascii="Times New Roman" w:hAnsi="Times New Roman" w:eastAsia="Times New Roman" w:cs="Times New Roman"/>
          <w:b/>
          <w:bCs/>
          <w:color w:val="4A5568"/>
          <w:sz w:val="22"/>
          <w:szCs w:val="22"/>
        </w:rPr>
        <w:t xml:space="preserve">[22]  </w:t>
      </w:r>
      <w:r>
        <w:rPr>
          <w:rFonts w:ascii="Times New Roman" w:hAnsi="Times New Roman" w:eastAsia="Times New Roman" w:cs="Times New Roman"/>
          <w:color w:val="000000"/>
          <w:sz w:val="22"/>
          <w:szCs w:val="22"/>
        </w:rPr>
        <w:t>Dvali, G., Shafi, Q. &amp; Schaefer, R. (1994). Large scale structure and supersymmetric inflation without fine tuning. Phys. Rev. Lett. 73, 1886.</w:t>
      </w:r>
    </w:p>
    <w:p w14:paraId="333542A0">
      <w:pPr>
        <w:spacing w:before="0" w:after="100"/>
        <w:ind w:left="540" w:hanging="540"/>
      </w:pPr>
      <w:r>
        <w:rPr>
          <w:rFonts w:ascii="Times New Roman" w:hAnsi="Times New Roman" w:eastAsia="Times New Roman" w:cs="Times New Roman"/>
          <w:b/>
          <w:bCs/>
          <w:color w:val="4A5568"/>
          <w:sz w:val="22"/>
          <w:szCs w:val="22"/>
        </w:rPr>
        <w:t xml:space="preserve">[23]  </w:t>
      </w:r>
      <w:r>
        <w:rPr>
          <w:rFonts w:ascii="Times New Roman" w:hAnsi="Times New Roman" w:eastAsia="Times New Roman" w:cs="Times New Roman"/>
          <w:color w:val="000000"/>
          <w:sz w:val="22"/>
          <w:szCs w:val="22"/>
        </w:rPr>
        <w:t>Sousbie, T. (2011). The persistent cosmic web and its filamentary structure. Mon. Not. R. Astron. Soc. 414, 350.</w:t>
      </w:r>
    </w:p>
    <w:p w14:paraId="06E1485D">
      <w:pPr>
        <w:spacing w:before="0" w:after="100"/>
        <w:ind w:left="540" w:hanging="540"/>
      </w:pPr>
      <w:r>
        <w:rPr>
          <w:rFonts w:ascii="Times New Roman" w:hAnsi="Times New Roman" w:eastAsia="Times New Roman" w:cs="Times New Roman"/>
          <w:b/>
          <w:bCs/>
          <w:color w:val="4A5568"/>
          <w:sz w:val="22"/>
          <w:szCs w:val="22"/>
        </w:rPr>
        <w:t xml:space="preserve">[24]  </w:t>
      </w:r>
      <w:r>
        <w:rPr>
          <w:rFonts w:ascii="Times New Roman" w:hAnsi="Times New Roman" w:eastAsia="Times New Roman" w:cs="Times New Roman"/>
          <w:color w:val="000000"/>
          <w:sz w:val="22"/>
          <w:szCs w:val="22"/>
        </w:rPr>
        <w:t>Springel, V. et al. (2005). Simulations of the formation, evolution and clustering of galaxies and quasars. Nature 435, 629.</w:t>
      </w:r>
    </w:p>
    <w:p w14:paraId="29090F84">
      <w:pPr>
        <w:spacing w:before="0" w:after="100"/>
        <w:ind w:left="540" w:hanging="540"/>
      </w:pPr>
      <w:r>
        <w:rPr>
          <w:rFonts w:ascii="Times New Roman" w:hAnsi="Times New Roman" w:eastAsia="Times New Roman" w:cs="Times New Roman"/>
          <w:b/>
          <w:bCs/>
          <w:color w:val="4A5568"/>
          <w:sz w:val="22"/>
          <w:szCs w:val="22"/>
        </w:rPr>
        <w:t xml:space="preserve">[25]  </w:t>
      </w:r>
      <w:r>
        <w:rPr>
          <w:rFonts w:ascii="Times New Roman" w:hAnsi="Times New Roman" w:eastAsia="Times New Roman" w:cs="Times New Roman"/>
          <w:color w:val="000000"/>
          <w:sz w:val="22"/>
          <w:szCs w:val="22"/>
        </w:rPr>
        <w:t>Press, W.H. &amp; Schechter, P. (1974). Formation of galaxies and clusters of galaxies by self-similar gravitational condensation. Astrophys. J. 187, 425.</w:t>
      </w:r>
    </w:p>
    <w:p w14:paraId="1702F0A0">
      <w:pPr>
        <w:spacing w:before="0" w:after="100"/>
        <w:ind w:left="540" w:hanging="540"/>
      </w:pPr>
      <w:r>
        <w:rPr>
          <w:rFonts w:ascii="Times New Roman" w:hAnsi="Times New Roman" w:eastAsia="Times New Roman" w:cs="Times New Roman"/>
          <w:b/>
          <w:bCs/>
          <w:color w:val="4A5568"/>
          <w:sz w:val="22"/>
          <w:szCs w:val="22"/>
        </w:rPr>
        <w:t xml:space="preserve">[26]  </w:t>
      </w:r>
      <w:r>
        <w:rPr>
          <w:rFonts w:ascii="Times New Roman" w:hAnsi="Times New Roman" w:eastAsia="Times New Roman" w:cs="Times New Roman"/>
          <w:color w:val="000000"/>
          <w:sz w:val="22"/>
          <w:szCs w:val="22"/>
        </w:rPr>
        <w:t>Hillert, M. (1965). On the theory of normal and abnormal grain growth. Acta Metall. 13, 227.</w:t>
      </w:r>
    </w:p>
    <w:p w14:paraId="05453836">
      <w:pPr>
        <w:spacing w:before="0" w:after="100"/>
        <w:ind w:left="540" w:hanging="540"/>
      </w:pPr>
      <w:r>
        <w:rPr>
          <w:rFonts w:ascii="Times New Roman" w:hAnsi="Times New Roman" w:eastAsia="Times New Roman" w:cs="Times New Roman"/>
          <w:b/>
          <w:bCs/>
          <w:color w:val="4A5568"/>
          <w:sz w:val="22"/>
          <w:szCs w:val="22"/>
        </w:rPr>
        <w:t xml:space="preserve">[27]  </w:t>
      </w:r>
      <w:r>
        <w:rPr>
          <w:rFonts w:ascii="Times New Roman" w:hAnsi="Times New Roman" w:eastAsia="Times New Roman" w:cs="Times New Roman"/>
          <w:color w:val="000000"/>
          <w:sz w:val="22"/>
          <w:szCs w:val="22"/>
        </w:rPr>
        <w:t>Gibbons, G.W. &amp; Hawking, S.W. (1977). Cosmological event horizons, thermodynamics, and particle creation. Phys. Rev. D 15, 2738.</w:t>
      </w:r>
    </w:p>
    <w:p w14:paraId="3A457211">
      <w:pPr>
        <w:spacing w:before="0" w:after="100"/>
        <w:ind w:left="540" w:hanging="540"/>
      </w:pPr>
      <w:r>
        <w:rPr>
          <w:rFonts w:ascii="Times New Roman" w:hAnsi="Times New Roman" w:eastAsia="Times New Roman" w:cs="Times New Roman"/>
          <w:b/>
          <w:bCs/>
          <w:color w:val="4A5568"/>
          <w:sz w:val="22"/>
          <w:szCs w:val="22"/>
        </w:rPr>
        <w:t xml:space="preserve">[28]  </w:t>
      </w:r>
      <w:r>
        <w:rPr>
          <w:rFonts w:ascii="Times New Roman" w:hAnsi="Times New Roman" w:eastAsia="Times New Roman" w:cs="Times New Roman"/>
          <w:color w:val="000000"/>
          <w:sz w:val="22"/>
          <w:szCs w:val="22"/>
        </w:rPr>
        <w:t>Zurek, W.H. (1996). Cosmological experiments in condensed matter systems. Phys. Rep. 276, 177.</w:t>
      </w:r>
    </w:p>
    <w:p w14:paraId="52974E3F">
      <w:pPr>
        <w:spacing w:before="0" w:after="100"/>
        <w:ind w:left="540" w:hanging="540"/>
      </w:pPr>
      <w:r>
        <w:rPr>
          <w:rFonts w:ascii="Times New Roman" w:hAnsi="Times New Roman" w:eastAsia="Times New Roman" w:cs="Times New Roman"/>
          <w:b/>
          <w:bCs/>
          <w:color w:val="4A5568"/>
          <w:sz w:val="22"/>
          <w:szCs w:val="22"/>
        </w:rPr>
        <w:t xml:space="preserve">[29]  </w:t>
      </w:r>
      <w:r>
        <w:rPr>
          <w:rFonts w:ascii="Times New Roman" w:hAnsi="Times New Roman" w:eastAsia="Times New Roman" w:cs="Times New Roman"/>
          <w:color w:val="000000"/>
          <w:sz w:val="22"/>
          <w:szCs w:val="22"/>
        </w:rPr>
        <w:t>Randall, L. &amp; Sundrum, R. (1999). An alternative to compactification. Phys. Rev. Lett. 83, 4690.</w:t>
      </w:r>
    </w:p>
    <w:p w14:paraId="4740096F">
      <w:pPr>
        <w:spacing w:before="0" w:after="100"/>
        <w:ind w:left="540" w:hanging="540"/>
      </w:pPr>
      <w:r>
        <w:rPr>
          <w:rFonts w:ascii="Times New Roman" w:hAnsi="Times New Roman" w:eastAsia="Times New Roman" w:cs="Times New Roman"/>
          <w:b/>
          <w:bCs/>
          <w:color w:val="4A5568"/>
          <w:sz w:val="22"/>
          <w:szCs w:val="22"/>
        </w:rPr>
        <w:t xml:space="preserve">[30]  </w:t>
      </w:r>
      <w:r>
        <w:rPr>
          <w:rFonts w:ascii="Times New Roman" w:hAnsi="Times New Roman" w:eastAsia="Times New Roman" w:cs="Times New Roman"/>
          <w:color w:val="000000"/>
          <w:sz w:val="22"/>
          <w:szCs w:val="22"/>
        </w:rPr>
        <w:t>Maldacena, J. (1998). The large N limit of superconformal field theories and supergravity. Adv. Theor. Math. Phys. 2, 231.</w:t>
      </w:r>
    </w:p>
    <w:p w14:paraId="73BF4A45">
      <w:pPr>
        <w:spacing w:before="0" w:after="100"/>
        <w:ind w:left="540" w:hanging="540"/>
      </w:pPr>
      <w:r>
        <w:rPr>
          <w:rFonts w:ascii="Times New Roman" w:hAnsi="Times New Roman" w:eastAsia="Times New Roman" w:cs="Times New Roman"/>
          <w:b/>
          <w:bCs/>
          <w:color w:val="4A5568"/>
          <w:sz w:val="22"/>
          <w:szCs w:val="22"/>
        </w:rPr>
        <w:t xml:space="preserve">[31]  </w:t>
      </w:r>
      <w:r>
        <w:rPr>
          <w:rFonts w:ascii="Times New Roman" w:hAnsi="Times New Roman" w:eastAsia="Times New Roman" w:cs="Times New Roman"/>
          <w:color w:val="000000"/>
          <w:sz w:val="22"/>
          <w:szCs w:val="22"/>
        </w:rPr>
        <w:t>'t Hooft, G. (1993). Dimensional reduction in quantum gravity. arXiv:gr-qc/9310026.</w:t>
      </w:r>
    </w:p>
    <w:p w14:paraId="3FB5FD20">
      <w:pPr>
        <w:spacing w:before="0" w:after="100"/>
        <w:ind w:left="540" w:hanging="540"/>
      </w:pPr>
      <w:r>
        <w:rPr>
          <w:rFonts w:ascii="Times New Roman" w:hAnsi="Times New Roman" w:eastAsia="Times New Roman" w:cs="Times New Roman"/>
          <w:b/>
          <w:bCs/>
          <w:color w:val="4A5568"/>
          <w:sz w:val="22"/>
          <w:szCs w:val="22"/>
        </w:rPr>
        <w:t xml:space="preserve">[32]  </w:t>
      </w:r>
      <w:r>
        <w:rPr>
          <w:rFonts w:ascii="Times New Roman" w:hAnsi="Times New Roman" w:eastAsia="Times New Roman" w:cs="Times New Roman"/>
          <w:color w:val="000000"/>
          <w:sz w:val="22"/>
          <w:szCs w:val="22"/>
        </w:rPr>
        <w:t>Susskind, L. (1995). The world as a hologram. J. Math. Phys. 36, 6377.</w:t>
      </w:r>
    </w:p>
    <w:p w14:paraId="351C92F0">
      <w:pPr>
        <w:spacing w:before="0" w:after="100"/>
        <w:ind w:left="540" w:hanging="540"/>
      </w:pPr>
      <w:r>
        <w:rPr>
          <w:rFonts w:ascii="Times New Roman" w:hAnsi="Times New Roman" w:eastAsia="Times New Roman" w:cs="Times New Roman"/>
          <w:b/>
          <w:bCs/>
          <w:color w:val="4A5568"/>
          <w:sz w:val="22"/>
          <w:szCs w:val="22"/>
        </w:rPr>
        <w:t xml:space="preserve">[33]  </w:t>
      </w:r>
      <w:r>
        <w:rPr>
          <w:rFonts w:ascii="Times New Roman" w:hAnsi="Times New Roman" w:eastAsia="Times New Roman" w:cs="Times New Roman"/>
          <w:color w:val="000000"/>
          <w:sz w:val="22"/>
          <w:szCs w:val="22"/>
        </w:rPr>
        <w:t>Sparnaay, M.J. (1958). Measurements of attractive forces between flat plates. Physica 24, 751.</w:t>
      </w:r>
    </w:p>
    <w:p w14:paraId="000A6738">
      <w:pPr>
        <w:spacing w:before="0" w:after="100"/>
        <w:ind w:left="540" w:hanging="540"/>
      </w:pPr>
      <w:r>
        <w:rPr>
          <w:rFonts w:ascii="Times New Roman" w:hAnsi="Times New Roman" w:eastAsia="Times New Roman" w:cs="Times New Roman"/>
          <w:b/>
          <w:bCs/>
          <w:color w:val="4A5568"/>
          <w:sz w:val="22"/>
          <w:szCs w:val="22"/>
        </w:rPr>
        <w:t xml:space="preserve">[34]  </w:t>
      </w:r>
      <w:r>
        <w:rPr>
          <w:rFonts w:ascii="Times New Roman" w:hAnsi="Times New Roman" w:eastAsia="Times New Roman" w:cs="Times New Roman"/>
          <w:color w:val="000000"/>
          <w:sz w:val="22"/>
          <w:szCs w:val="22"/>
        </w:rPr>
        <w:t>Euclid Collaboration (2020). Euclid preparation: VII. Forecast validation for Euclid cosmological probes. Astron. Astrophys. 642, A191.</w:t>
      </w:r>
    </w:p>
    <w:p w14:paraId="6D2C961B">
      <w:pPr>
        <w:spacing w:before="0" w:after="100"/>
        <w:ind w:left="540" w:hanging="540"/>
      </w:pPr>
      <w:r>
        <w:rPr>
          <w:rFonts w:ascii="Times New Roman" w:hAnsi="Times New Roman" w:eastAsia="Times New Roman" w:cs="Times New Roman"/>
          <w:b/>
          <w:bCs/>
          <w:color w:val="4A5568"/>
          <w:sz w:val="22"/>
          <w:szCs w:val="22"/>
        </w:rPr>
        <w:t xml:space="preserve">[35]  </w:t>
      </w:r>
      <w:r>
        <w:rPr>
          <w:rFonts w:ascii="Times New Roman" w:hAnsi="Times New Roman" w:eastAsia="Times New Roman" w:cs="Times New Roman"/>
          <w:color w:val="000000"/>
          <w:sz w:val="22"/>
          <w:szCs w:val="22"/>
        </w:rPr>
        <w:t>Tempel, E. et al. (2014). Detecting filamentary pattern in the cosmic web: a catalogue of filaments for the SDSS. Mon. Not. R. Astron. Soc. 438, 3465.</w:t>
      </w:r>
    </w:p>
    <w:p w14:paraId="275E8057">
      <w:pPr>
        <w:spacing w:before="0" w:after="100"/>
        <w:ind w:left="540" w:hanging="540"/>
      </w:pPr>
      <w:r>
        <w:rPr>
          <w:rFonts w:ascii="Times New Roman" w:hAnsi="Times New Roman" w:eastAsia="Times New Roman" w:cs="Times New Roman"/>
          <w:b/>
          <w:bCs/>
          <w:color w:val="4A5568"/>
          <w:sz w:val="22"/>
          <w:szCs w:val="22"/>
        </w:rPr>
        <w:t xml:space="preserve">[36]  </w:t>
      </w:r>
      <w:r>
        <w:rPr>
          <w:rFonts w:ascii="Times New Roman" w:hAnsi="Times New Roman" w:eastAsia="Times New Roman" w:cs="Times New Roman"/>
          <w:color w:val="000000"/>
          <w:sz w:val="22"/>
          <w:szCs w:val="22"/>
        </w:rPr>
        <w:t>Maartens, R. &amp; Koyama, K. (2010). Brane-world gravity. Living Rev. Relativ. 13, 5.</w:t>
      </w:r>
    </w:p>
    <w:p w14:paraId="67BE823C">
      <w:pPr>
        <w:spacing w:before="0" w:after="100"/>
        <w:ind w:left="540" w:hanging="540"/>
      </w:pPr>
      <w:r>
        <w:rPr>
          <w:rFonts w:ascii="Times New Roman" w:hAnsi="Times New Roman" w:eastAsia="Times New Roman" w:cs="Times New Roman"/>
          <w:b/>
          <w:bCs/>
          <w:color w:val="4A5568"/>
          <w:sz w:val="22"/>
          <w:szCs w:val="22"/>
        </w:rPr>
        <w:t xml:space="preserve">[37]  </w:t>
      </w:r>
      <w:r>
        <w:rPr>
          <w:rFonts w:ascii="Times New Roman" w:hAnsi="Times New Roman" w:eastAsia="Times New Roman" w:cs="Times New Roman"/>
          <w:color w:val="000000"/>
          <w:sz w:val="22"/>
          <w:szCs w:val="22"/>
        </w:rPr>
        <w:t>Steinhardt, P.J. &amp; Turok, N. (2002). A cyclic universe. Science 296, 1436.</w:t>
      </w:r>
    </w:p>
    <w:p w14:paraId="7D214921">
      <w:pPr>
        <w:spacing w:before="0" w:after="100"/>
        <w:ind w:left="540" w:hanging="540"/>
      </w:pPr>
      <w:r>
        <w:rPr>
          <w:rFonts w:ascii="Times New Roman" w:hAnsi="Times New Roman" w:eastAsia="Times New Roman" w:cs="Times New Roman"/>
          <w:b/>
          <w:bCs/>
          <w:color w:val="4A5568"/>
          <w:sz w:val="22"/>
          <w:szCs w:val="22"/>
        </w:rPr>
        <w:t xml:space="preserve">[38]  </w:t>
      </w:r>
      <w:r>
        <w:rPr>
          <w:rFonts w:ascii="Times New Roman" w:hAnsi="Times New Roman" w:eastAsia="Times New Roman" w:cs="Times New Roman"/>
          <w:color w:val="000000"/>
          <w:sz w:val="22"/>
          <w:szCs w:val="22"/>
        </w:rPr>
        <w:t>Ambjorn, J., Jurkiewicz, J. &amp; Loll, R. (2004). Emergence of a 4D world from causal quantum gravity. Phys. Rev. Lett. 93, 131301.</w:t>
      </w:r>
    </w:p>
    <w:p w14:paraId="1D646418">
      <w:pPr>
        <w:spacing w:before="0" w:after="100"/>
        <w:ind w:left="540" w:hanging="540"/>
      </w:pPr>
      <w:r>
        <w:rPr>
          <w:rFonts w:ascii="Times New Roman" w:hAnsi="Times New Roman" w:eastAsia="Times New Roman" w:cs="Times New Roman"/>
          <w:b/>
          <w:bCs/>
          <w:color w:val="4A5568"/>
          <w:sz w:val="22"/>
          <w:szCs w:val="22"/>
        </w:rPr>
        <w:t xml:space="preserve">[39]  </w:t>
      </w:r>
      <w:r>
        <w:rPr>
          <w:rFonts w:ascii="Times New Roman" w:hAnsi="Times New Roman" w:eastAsia="Times New Roman" w:cs="Times New Roman"/>
          <w:color w:val="000000"/>
          <w:sz w:val="22"/>
          <w:szCs w:val="22"/>
        </w:rPr>
        <w:t>Rovelli, C. &amp; Smolin, L. (1995). Spin networks and quantum gravity. Phys. Rev. D 52, 5743.</w:t>
      </w:r>
    </w:p>
    <w:p w14:paraId="60A5426A">
      <w:pPr>
        <w:spacing w:before="0" w:after="100"/>
        <w:ind w:left="540" w:hanging="540"/>
      </w:pPr>
      <w:r>
        <w:rPr>
          <w:rFonts w:ascii="Times New Roman" w:hAnsi="Times New Roman" w:eastAsia="Times New Roman" w:cs="Times New Roman"/>
          <w:b/>
          <w:bCs/>
          <w:color w:val="4A5568"/>
          <w:sz w:val="22"/>
          <w:szCs w:val="22"/>
        </w:rPr>
        <w:t xml:space="preserve">[40]  </w:t>
      </w:r>
      <w:r>
        <w:rPr>
          <w:rFonts w:ascii="Times New Roman" w:hAnsi="Times New Roman" w:eastAsia="Times New Roman" w:cs="Times New Roman"/>
          <w:color w:val="000000"/>
          <w:sz w:val="22"/>
          <w:szCs w:val="22"/>
        </w:rPr>
        <w:t>Boyer, T.H. (1975). Random electrodynamics: the theory of classical electrodynamics with classical electromagnetic zero-point radiation. Phys. Rev. D 11, 790.</w:t>
      </w:r>
    </w:p>
    <w:p w14:paraId="4E7FB93F">
      <w:pPr>
        <w:spacing w:before="0" w:after="100"/>
        <w:ind w:left="540" w:hanging="540"/>
      </w:pPr>
      <w:r>
        <w:rPr>
          <w:rFonts w:ascii="Times New Roman" w:hAnsi="Times New Roman" w:eastAsia="Times New Roman" w:cs="Times New Roman"/>
          <w:b/>
          <w:bCs/>
          <w:color w:val="4A5568"/>
          <w:sz w:val="22"/>
          <w:szCs w:val="22"/>
        </w:rPr>
        <w:t xml:space="preserve">[41]  </w:t>
      </w:r>
      <w:r>
        <w:rPr>
          <w:rFonts w:ascii="Times New Roman" w:hAnsi="Times New Roman" w:eastAsia="Times New Roman" w:cs="Times New Roman"/>
          <w:color w:val="000000"/>
          <w:sz w:val="22"/>
          <w:szCs w:val="22"/>
        </w:rPr>
        <w:t>Nelson, E. (1966). Derivation of the Schrödinger equation from Newtonian mechanics. Phys. Rev. 150, 1079.</w:t>
      </w:r>
    </w:p>
    <w:p w14:paraId="4026C2F8">
      <w:pPr>
        <w:spacing w:before="0" w:after="100"/>
        <w:ind w:left="540" w:hanging="540"/>
      </w:pPr>
      <w:r>
        <w:rPr>
          <w:rFonts w:ascii="Times New Roman" w:hAnsi="Times New Roman" w:eastAsia="Times New Roman" w:cs="Times New Roman"/>
          <w:b/>
          <w:bCs/>
          <w:color w:val="4A5568"/>
          <w:sz w:val="22"/>
          <w:szCs w:val="22"/>
        </w:rPr>
        <w:t xml:space="preserve">[42]  </w:t>
      </w:r>
      <w:r>
        <w:rPr>
          <w:rFonts w:ascii="Times New Roman" w:hAnsi="Times New Roman" w:eastAsia="Times New Roman" w:cs="Times New Roman"/>
          <w:color w:val="000000"/>
          <w:sz w:val="22"/>
          <w:szCs w:val="22"/>
        </w:rPr>
        <w:t>Ehrenfest, P. (1920). How do the fundamental laws of physics make specific the number of dimensions of space? Proc. Amst. Acad. 20, 200.</w:t>
      </w:r>
    </w:p>
    <w:p w14:paraId="5118FA31">
      <w:pPr>
        <w:spacing w:before="200" w:after="0"/>
      </w:pPr>
    </w:p>
    <w:sectPr>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28A71A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spacing w:before="360" w:after="120"/>
      <w:outlineLvl w:val="0"/>
    </w:pPr>
    <w:rPr>
      <w:rFonts w:ascii="Arial" w:hAnsi="Arial" w:eastAsia="Arial" w:cs="Arial"/>
      <w:b/>
      <w:bCs/>
      <w:color w:val="000000"/>
      <w:sz w:val="24"/>
      <w:szCs w:val="24"/>
    </w:rPr>
  </w:style>
  <w:style w:type="paragraph" w:styleId="3">
    <w:name w:val="heading 2"/>
    <w:next w:val="1"/>
    <w:qFormat/>
    <w:uiPriority w:val="0"/>
    <w:pPr>
      <w:spacing w:before="240" w:after="80"/>
      <w:outlineLvl w:val="1"/>
    </w:pPr>
    <w:rPr>
      <w:rFonts w:ascii="Arial" w:hAnsi="Arial" w:eastAsia="Arial" w:cs="Arial"/>
      <w:b/>
      <w:bCs/>
      <w:i/>
      <w:iCs/>
      <w:color w:val="000000"/>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Hyperlink"/>
    <w:unhideWhenUsed/>
    <w:qFormat/>
    <w:uiPriority w:val="99"/>
    <w:rPr>
      <w:color w:val="0563C1"/>
      <w:u w:val="single"/>
    </w:rPr>
  </w:style>
  <w:style w:type="paragraph" w:styleId="13">
    <w:name w:val="Title"/>
    <w:qFormat/>
    <w:uiPriority w:val="0"/>
    <w:rPr>
      <w:rFonts w:ascii="Times New Roman" w:hAnsi="Times New Roman" w:eastAsia="Times New Roman" w:cs="Times New Roman"/>
      <w:color w:val="000000"/>
      <w:sz w:val="56"/>
      <w:szCs w:val="56"/>
    </w:rPr>
  </w:style>
  <w:style w:type="paragraph" w:styleId="14">
    <w:name w:val="List Paragraph"/>
    <w:qFormat/>
    <w:uiPriority w:val="0"/>
    <w:rPr>
      <w:rFonts w:ascii="Times New Roman" w:hAnsi="Times New Roman" w:eastAsia="Times New Roman" w:cs="Times New Roman"/>
      <w:color w:val="000000"/>
      <w:sz w:val="24"/>
      <w:szCs w:val="24"/>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0</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2026-03-09T22:25:00Z</dcterms:created>
  <dc:creator>Un-named</dc:creator>
  <cp:lastModifiedBy>dmytr</cp:lastModifiedBy>
  <dcterms:modified xsi:type="dcterms:W3CDTF">2026-03-10T10:03:59Z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6F05E2982C504EA88384025D3BA6EC2C_13</vt:lpwstr>
  </property>
</Properties>
</file>