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45F949">
      <w:pPr>
        <w:spacing w:before="0" w:after="120"/>
        <w:jc w:val="center"/>
      </w:pPr>
      <w:r>
        <w:rPr>
          <w:rFonts w:ascii="Arial" w:hAnsi="Arial" w:eastAsia="Arial" w:cs="Arial"/>
          <w:b/>
          <w:bCs/>
          <w:color w:val="1A1A2E"/>
          <w:sz w:val="36"/>
          <w:szCs w:val="36"/>
        </w:rPr>
        <w:t>Кристалографічна космологія крізь призму редукції вимірів:</w:t>
      </w:r>
    </w:p>
    <w:p w14:paraId="3CB3853F">
      <w:pPr>
        <w:spacing w:before="0" w:after="240"/>
        <w:jc w:val="center"/>
      </w:pPr>
      <w:r>
        <w:rPr>
          <w:rFonts w:ascii="Arial" w:hAnsi="Arial" w:eastAsia="Arial" w:cs="Arial"/>
          <w:i/>
          <w:iCs/>
          <w:color w:val="2C3A6B"/>
          <w:sz w:val="30"/>
          <w:szCs w:val="30"/>
        </w:rPr>
        <w:t>Великомасштабна структура як морфологія зерен фазового переходу у вищовимірному просторі</w:t>
      </w:r>
    </w:p>
    <w:p w14:paraId="6E007BA4">
      <w:pPr>
        <w:spacing w:before="0" w:after="60"/>
        <w:jc w:val="center"/>
        <w:rPr>
          <w:rFonts w:hint="default" w:ascii="Arial" w:hAnsi="Arial" w:eastAsia="Arial" w:cs="Arial"/>
          <w:i/>
          <w:iCs/>
          <w:color w:val="718096"/>
          <w:sz w:val="22"/>
          <w:szCs w:val="22"/>
          <w:lang w:val="uk-UA"/>
        </w:rPr>
      </w:pPr>
      <w:r>
        <w:rPr>
          <w:rFonts w:ascii="Arial" w:hAnsi="Arial" w:eastAsia="Arial" w:cs="Arial"/>
          <w:i/>
          <w:iCs/>
          <w:color w:val="718096"/>
          <w:sz w:val="22"/>
          <w:szCs w:val="22"/>
          <w:lang w:val="uk-UA"/>
        </w:rPr>
        <w:t>Р</w:t>
      </w:r>
      <w:r>
        <w:rPr>
          <w:rFonts w:hint="default" w:ascii="Arial" w:hAnsi="Arial" w:eastAsia="Arial" w:cs="Arial"/>
          <w:i/>
          <w:iCs/>
          <w:color w:val="718096"/>
          <w:sz w:val="22"/>
          <w:szCs w:val="22"/>
          <w:lang w:val="en-GB"/>
        </w:rPr>
        <w:t>a</w:t>
      </w:r>
      <w:bookmarkStart w:id="0" w:name="_GoBack"/>
      <w:bookmarkEnd w:id="0"/>
      <w:r>
        <w:rPr>
          <w:rFonts w:ascii="Arial" w:hAnsi="Arial" w:eastAsia="Arial" w:cs="Arial"/>
          <w:i/>
          <w:iCs/>
          <w:color w:val="718096"/>
          <w:sz w:val="22"/>
          <w:szCs w:val="22"/>
          <w:lang w:val="uk-UA"/>
        </w:rPr>
        <w:t>ковський</w:t>
      </w:r>
      <w:r>
        <w:rPr>
          <w:rFonts w:hint="default" w:ascii="Arial" w:hAnsi="Arial" w:eastAsia="Arial" w:cs="Arial"/>
          <w:i/>
          <w:iCs/>
          <w:color w:val="718096"/>
          <w:sz w:val="22"/>
          <w:szCs w:val="22"/>
          <w:lang w:val="uk-UA"/>
        </w:rPr>
        <w:t xml:space="preserve"> Дмитро Віталійович</w:t>
      </w:r>
    </w:p>
    <w:p w14:paraId="6B79BB4E">
      <w:pPr>
        <w:spacing w:before="0" w:after="60"/>
        <w:jc w:val="center"/>
      </w:pPr>
      <w:r>
        <w:rPr>
          <w:rFonts w:ascii="Arial" w:hAnsi="Arial" w:eastAsia="Arial" w:cs="Arial"/>
          <w:i/>
          <w:iCs/>
          <w:color w:val="718096"/>
          <w:sz w:val="22"/>
          <w:szCs w:val="22"/>
        </w:rPr>
        <w:t>[Установи приховано для подвійного сліпого рецензування]</w:t>
      </w:r>
    </w:p>
    <w:p w14:paraId="4B378805">
      <w:pPr>
        <w:spacing w:before="0" w:after="60"/>
        <w:jc w:val="center"/>
        <w:rPr>
          <w:rFonts w:hint="default"/>
          <w:lang w:val="en-GB"/>
        </w:rPr>
      </w:pPr>
      <w:r>
        <w:rPr>
          <w:rFonts w:ascii="Arial" w:hAnsi="Arial" w:eastAsia="Arial" w:cs="Arial"/>
          <w:i/>
          <w:iCs/>
          <w:color w:val="718096"/>
          <w:sz w:val="22"/>
          <w:szCs w:val="22"/>
        </w:rPr>
        <w:t xml:space="preserve">Для листування: </w:t>
      </w:r>
      <w:r>
        <w:rPr>
          <w:rFonts w:hint="default" w:ascii="Arial" w:hAnsi="Arial" w:eastAsia="Arial" w:cs="Arial"/>
          <w:i/>
          <w:iCs/>
          <w:color w:val="718096"/>
          <w:sz w:val="22"/>
          <w:szCs w:val="22"/>
          <w:lang w:val="en-GB"/>
        </w:rPr>
        <w:t>rakovpublic@gmail.com</w:t>
      </w:r>
    </w:p>
    <w:p w14:paraId="181B2C88">
      <w:pPr>
        <w:spacing w:before="0" w:after="60"/>
        <w:jc w:val="center"/>
      </w:pPr>
      <w:r>
        <w:rPr>
          <w:rFonts w:ascii="Arial" w:hAnsi="Arial" w:eastAsia="Arial" w:cs="Arial"/>
          <w:color w:val="718096"/>
          <w:sz w:val="22"/>
          <w:szCs w:val="22"/>
        </w:rPr>
        <w:t>Подано: березень 2026 р.</w:t>
      </w:r>
    </w:p>
    <w:p w14:paraId="0B780F0C">
      <w:pPr>
        <w:pBdr>
          <w:bottom w:val="single" w:color="CCCCCC" w:sz="4" w:space="1"/>
        </w:pBdr>
        <w:spacing w:before="160" w:after="160"/>
      </w:pPr>
    </w:p>
    <w:p w14:paraId="11B50EA2">
      <w:pPr>
        <w:spacing w:before="0" w:after="60"/>
      </w:pPr>
      <w:r>
        <w:rPr>
          <w:rFonts w:ascii="Arial" w:hAnsi="Arial" w:eastAsia="Arial" w:cs="Arial"/>
          <w:b/>
          <w:bCs/>
          <w:color w:val="1A1A2E"/>
          <w:sz w:val="22"/>
          <w:szCs w:val="22"/>
        </w:rPr>
        <w:t xml:space="preserve">Ключові слова: </w:t>
      </w:r>
      <w:r>
        <w:rPr>
          <w:rFonts w:ascii="Arial" w:hAnsi="Arial" w:eastAsia="Arial" w:cs="Arial"/>
          <w:i/>
          <w:iCs/>
          <w:color w:val="4A5568"/>
          <w:sz w:val="22"/>
          <w:szCs w:val="22"/>
        </w:rPr>
        <w:t>великомасштабна структура; баріонні акустичні осциляції; редукція вимірів; топологічні дефекти; космологія браней; механізм Кіббла; модель біжучого вакууму; кристалографічна аналогія; морфологія космічної павутини; субквантова механіка</w:t>
      </w:r>
    </w:p>
    <w:p w14:paraId="721DBF75">
      <w:pPr>
        <w:spacing w:before="0" w:after="0"/>
      </w:pPr>
      <w:r>
        <w:rPr>
          <w:rFonts w:ascii="Arial" w:hAnsi="Arial" w:eastAsia="Arial" w:cs="Arial"/>
          <w:b/>
          <w:bCs/>
          <w:color w:val="1A1A2E"/>
          <w:sz w:val="22"/>
          <w:szCs w:val="22"/>
        </w:rPr>
        <w:t xml:space="preserve">PACS: </w:t>
      </w:r>
      <w:r>
        <w:rPr>
          <w:rFonts w:ascii="Arial" w:hAnsi="Arial" w:eastAsia="Arial" w:cs="Arial"/>
          <w:color w:val="4A5568"/>
          <w:sz w:val="22"/>
          <w:szCs w:val="22"/>
        </w:rPr>
        <w:t>98.80.-k, 98.65.Dx, 11.25.Mj, 11.27.+d, 64.60.Bd</w:t>
      </w:r>
    </w:p>
    <w:p w14:paraId="00053F5D">
      <w:pPr>
        <w:pBdr>
          <w:bottom w:val="single" w:color="CCCCCC" w:sz="4" w:space="1"/>
        </w:pBdr>
        <w:spacing w:before="160" w:after="160"/>
      </w:pPr>
    </w:p>
    <w:p w14:paraId="57CC97E8">
      <w:pPr>
        <w:spacing w:before="0" w:after="120"/>
        <w:jc w:val="center"/>
      </w:pPr>
      <w:r>
        <w:rPr>
          <w:rFonts w:ascii="Arial" w:hAnsi="Arial" w:eastAsia="Arial" w:cs="Arial"/>
          <w:b/>
          <w:bCs/>
          <w:caps/>
          <w:color w:val="1A1A2E"/>
          <w:spacing w:val="80"/>
          <w:sz w:val="24"/>
          <w:szCs w:val="24"/>
        </w:rPr>
        <w:t>АНОТАЦІЯ</w:t>
      </w:r>
    </w:p>
    <w:p w14:paraId="0C551DB3">
      <w:pPr>
        <w:spacing w:before="0" w:after="200" w:line="264" w:lineRule="auto"/>
        <w:ind w:left="720" w:right="720"/>
        <w:jc w:val="both"/>
      </w:pPr>
      <w:r>
        <w:rPr>
          <w:rFonts w:ascii="Times New Roman" w:hAnsi="Times New Roman" w:eastAsia="Times New Roman" w:cs="Times New Roman"/>
          <w:color w:val="000000"/>
          <w:sz w:val="22"/>
          <w:szCs w:val="22"/>
        </w:rPr>
        <w:t>Ми пропонуємо теоретичну концепцію, яку назвали кристалографічною космологією крізь призму редукції вимірів (ККВПРВ), у якій спостережувана морфологія космічної павутини виникає як структура зерен фазового переходу у вищовимірному просторі вкладення. Центральна аналогія є точною та формальною: після інфляційний Всесвіт — це пересичене середовище, що зазнає нуклеації з порушенням симетрії у місцях, які визначаються топологічними дефектами у вищовимірному об'ємі, утворюючи ґраткоподібний конденсат із характерним інтервалом, що відповідає масштабу баріонних акустичних осциляцій (BAO) r* ≈ 147 Мпк. Ми демонструємо, що три необхідні умови для росту кристалу — пересичене середовище, затравки нуклеації та характерна довжина взаємодії — кожна з яких задовольняється відомою космологічною фізикою: охолоджуваний вакуум моделі біжучого вакууму (МБВ) забезпечує пересичення; перетини браней або топологічні дефекти у вищовимірному просторі задають сайти нуклеації, що проектуються у тривимірний зріз як струноподібні затравки; а горизонт звуку в момент рекомбінації забезпечує сталу ґратки. Концепція об'єднує низку досі розрізнених спостережень: пік BAO у функціях кореляції галактик відповідає піку дифракції Бреґґа від космологічної кристалічної ґратки; філаментні та стінкоподібні структури відповідають межам зерен, утвореним за механізмом Кіббла; а вузлові кластери відповідають дислокаціям потрійних стиків. Ми також показуємо, що квантовомеханічна статистика, яку зазвичай вважають аксіомою, може природно виникати як фононна статистика цієї ґратки при спостереженні зсередини однієї елементарної комірки. Концепція формулює три класи перевірюваних передбачень: (i) негаусові сигнатури у спектрі потужності матерії на субмасштабах BAO, що відображають топологію меж зерен; (ii) переважна орієнтаційна кореляція осей філаментів на понадгоризонтних відстанях, аналогічна кристалічній текстурі; (iii) систематичний зсув ефективного масштабу BAO з червоним зміщенням на рівні δr*/r* ∼ ν/2 ∼ 5 × 10⁻⁴, де ν — параметр МБВ, що може бути перевірений з даними DESI DR3/DR4. Ми вписуємо концепцію у контекст існуючих програм, включаючи космологію браней, голографічну дуальність, причинні динамічні тріангуляції та стохастичну механіку, та визначаємо відкриті проблеми, необхідні для переведення ККВПРВ зі структурної аналогії до кількісної теорії.</w:t>
      </w:r>
    </w:p>
    <w:p w14:paraId="20B84FC9">
      <w:pPr>
        <w:pBdr>
          <w:bottom w:val="single" w:color="CCCCCC" w:sz="4" w:space="1"/>
        </w:pBdr>
        <w:spacing w:before="160" w:after="160"/>
      </w:pPr>
    </w:p>
    <w:p w14:paraId="62A31D34">
      <w:pPr>
        <w:spacing w:before="360" w:after="120"/>
      </w:pPr>
      <w:r>
        <w:rPr>
          <w:rFonts w:ascii="Arial" w:hAnsi="Arial" w:eastAsia="Arial" w:cs="Arial"/>
          <w:b/>
          <w:bCs/>
          <w:color w:val="1A1A2E"/>
          <w:sz w:val="24"/>
          <w:szCs w:val="24"/>
        </w:rPr>
        <w:t>1. ВСТУП</w:t>
      </w:r>
    </w:p>
    <w:p w14:paraId="29D316A4">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Великомасштабна структура Всесвіту являє собою одну з найбільш вражаючих візуальних закономірностей у природі: космічна павутина філаментів, стінок, войдів та вузлових кластерів, що простягається на сотні мегапарсек, демонструючи просторову періодичність, заякорену на масштабі баріонних акустичних осциляцій (BAO) r* ≈ 147 Мпк [1,2]. Цей масштаб, відкарбований в епоху рекомбінації водню, коли фотон-баріонна плазма відокремилась і її горизонт звуку заморозився, проявляється як статистично виражений інтервал у функціях кореляції пар галактик [3–7] і є найточніше виміряною стандартною лінійкою в спостережній космології [8].</w:t>
      </w:r>
    </w:p>
    <w:p w14:paraId="65B4317C">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Морфологічний характер космічної павутини давно запрошує порівняння з системами конденсованої матерії — зокрема, зі структурою зерен полікристалічних матеріалів. Bond, Kofman і Pogosyan [9] зазначили, що топологія павутини нагадує піну з мильних бульбашок, а подальший топологічний аналіз [10,11] кількісно підтвердив цю схожість. Проте ці порівняння залишалися феноменологічними: космічна павутина розглядається як результат гравітаційної нестійкості, що діє на первинні флуктуації густини, закладені інфляцією, а аналогія з кристалічними матеріалами слугує ілюстрацією, а не поясненням.</w:t>
      </w:r>
    </w:p>
    <w:p w14:paraId="64BA65A9">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У цій статті ми стверджуємо, що кристалографічна аналогія не просто ілюстративна, а механістично точна. Ми розробляємо концепцію кристалографічної космології крізь призму редукції вимірів (ККВПРВ), у якій:</w:t>
      </w:r>
    </w:p>
    <w:p w14:paraId="645A8A76">
      <w:pPr>
        <w:spacing w:before="0" w:after="160" w:line="276" w:lineRule="auto"/>
        <w:jc w:val="both"/>
      </w:pPr>
      <w:r>
        <w:rPr>
          <w:rFonts w:ascii="Times New Roman" w:hAnsi="Times New Roman" w:eastAsia="Times New Roman" w:cs="Times New Roman"/>
          <w:b w:val="0"/>
          <w:bCs w:val="0"/>
          <w:i w:val="0"/>
          <w:iCs w:val="0"/>
          <w:color w:val="000000"/>
          <w:sz w:val="24"/>
          <w:szCs w:val="24"/>
        </w:rPr>
        <w:t>(а) Після інфляційний Всесвіт є термодинамічно пересиченим середовищем, охолодження якого визначається рівнянням моделі біжучого вакууму (МБВ) ρvac(H) = C₀ + νm²H²/M²pl + αH⁴/H²I [12,13];</w:t>
      </w:r>
    </w:p>
    <w:p w14:paraId="38633F2C">
      <w:pPr>
        <w:spacing w:before="0" w:after="160" w:line="276" w:lineRule="auto"/>
        <w:jc w:val="both"/>
      </w:pPr>
      <w:r>
        <w:rPr>
          <w:rFonts w:ascii="Times New Roman" w:hAnsi="Times New Roman" w:eastAsia="Times New Roman" w:cs="Times New Roman"/>
          <w:b w:val="0"/>
          <w:bCs w:val="0"/>
          <w:i w:val="0"/>
          <w:iCs w:val="0"/>
          <w:color w:val="000000"/>
          <w:sz w:val="24"/>
          <w:szCs w:val="24"/>
        </w:rPr>
        <w:t>(б) Сайти нуклеації для космічних структур забезпечуються топологічними дефектами, що виникли під час фазового переходу у вищовимірному просторі та проектуються на спостережувану 3+1-вимірну брань як струноподібні або точкові ущільнення густини [14,15];</w:t>
      </w:r>
    </w:p>
    <w:p w14:paraId="38A40833">
      <w:pPr>
        <w:spacing w:before="0" w:after="160" w:line="276" w:lineRule="auto"/>
        <w:jc w:val="both"/>
      </w:pPr>
      <w:r>
        <w:rPr>
          <w:rFonts w:ascii="Times New Roman" w:hAnsi="Times New Roman" w:eastAsia="Times New Roman" w:cs="Times New Roman"/>
          <w:b w:val="0"/>
          <w:bCs w:val="0"/>
          <w:i w:val="0"/>
          <w:iCs w:val="0"/>
          <w:color w:val="000000"/>
          <w:sz w:val="24"/>
          <w:szCs w:val="24"/>
        </w:rPr>
        <w:t>(в) Масштаб BAO r* відіграє роль кристалографічної сталої ґратки, що задається тепловим масштабом довжини охолоджуваного вакууму в момент рекомбінації [1,7];</w:t>
      </w:r>
    </w:p>
    <w:p w14:paraId="5DAFB3EE">
      <w:pPr>
        <w:spacing w:before="0" w:after="160" w:line="276" w:lineRule="auto"/>
        <w:jc w:val="both"/>
      </w:pPr>
      <w:r>
        <w:rPr>
          <w:rFonts w:ascii="Times New Roman" w:hAnsi="Times New Roman" w:eastAsia="Times New Roman" w:cs="Times New Roman"/>
          <w:b w:val="0"/>
          <w:bCs w:val="0"/>
          <w:i w:val="0"/>
          <w:iCs w:val="0"/>
          <w:color w:val="000000"/>
          <w:sz w:val="24"/>
          <w:szCs w:val="24"/>
        </w:rPr>
        <w:t>(г) Механізм Кіббла утворення топологічних дефектів [16] дає універсальний опис як утворення зерен у лабораторному кристалі, так і формування філаментів космічної павутини, причому обидва процеси описуються одним і тим самим математичним формалізмом.</w:t>
      </w:r>
    </w:p>
    <w:p w14:paraId="17732718">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Концепція має три додаткові наслідки, які ми розкриваємо послідовно. По-перше, вона пропонує природне пояснення того, чому квантовомеханічна статистика виглядає фундаментальною: вона виникає як фононна статистика кристалічної ґратки, яку спостерігають зсередини однієї елементарної комірки — наслідок проекції розмірів, а не аксіоматичного постулату. По-друге, вона передбачає, що параметр МБВ ν ~ 10⁻³ має породжувати вимірюваний систематичний зсув ефективного масштабу BAO з червоним зміщенням, пропонуючи конкретний спостережний тест із сучасними оглядами. По-третє, вона передбачає орієнтаційні кореляції осей філаментів на понадгоризонтних відстанях, аналогічні кристалографічній текстурі, що становило б новий клас космологічного сигналу.</w:t>
      </w:r>
    </w:p>
    <w:p w14:paraId="490A6BBB">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Стаття побудована так. Розділ 2 розглядає відповідну спостережну феноменологію космічної павутини та вимірювань BAO. Розділ 3 розвиває термодинамічну аналогію між охолодженням вакууму МБВ та кристалізацією пересиченого середовища. Розділ 4 представляє вищовимірний механізм нуклеації. Розділ 5 формалізує проекцію розмірів та її наслідки для квантової статистики. Розділ 6 виводить спостережні передбачення. Розділ 7 вписує ККВПРВ у пейзаж існуючих теоретичних програм. Розділ 8 обговорює обмеження та відкриті проблеми. Розділ 9 підводить підсумки.</w:t>
      </w:r>
    </w:p>
    <w:p w14:paraId="50D539E2">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Скрізь використовуються природні одиниці c = ħ = kB = 1, крім випадків, де вони явно відновлені для ясності. Космологічні параметри взяті з Planck 2018 [8]: H₀ = 67,4 км с⁻¹ Мпк⁻¹, Ωm = 0,315, ΩΛ = 0,685.</w:t>
      </w:r>
    </w:p>
    <w:p w14:paraId="3661F54A">
      <w:pPr>
        <w:spacing w:before="360" w:after="120"/>
      </w:pPr>
      <w:r>
        <w:rPr>
          <w:rFonts w:ascii="Arial" w:hAnsi="Arial" w:eastAsia="Arial" w:cs="Arial"/>
          <w:b/>
          <w:bCs/>
          <w:color w:val="1A1A2E"/>
          <w:sz w:val="24"/>
          <w:szCs w:val="24"/>
        </w:rPr>
        <w:t>2. СПОСТЕРЕЖНИЙ КОНТЕКСТ: КОСМІЧНА ПАВУТИНА ЯК СТРУКТУРОВАНА ҐРАТКА</w:t>
      </w:r>
    </w:p>
    <w:p w14:paraId="3AF11EE5">
      <w:pPr>
        <w:spacing w:before="240" w:after="80"/>
      </w:pPr>
      <w:r>
        <w:rPr>
          <w:rFonts w:ascii="Arial" w:hAnsi="Arial" w:eastAsia="Arial" w:cs="Arial"/>
          <w:b/>
          <w:bCs/>
          <w:i/>
          <w:iCs/>
          <w:color w:val="2C3A6B"/>
          <w:sz w:val="24"/>
          <w:szCs w:val="24"/>
        </w:rPr>
        <w:t>2.1 Масштаб BAO як стала ґратки</w:t>
      </w:r>
    </w:p>
    <w:p w14:paraId="2F174CC4">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Сигнал BAO виникає внаслідок акустичних осциляцій у зв'язаній фотон-баріонній рідині до рекомбінації. В епоху останнього розсіювання (z* ≈ 1089, t* ≈ 380 000 р.) горизонт звуку заморожується на спів рухомому масштабі:</w:t>
      </w:r>
    </w:p>
    <w:p w14:paraId="5691A028">
      <w:pPr>
        <w:spacing w:before="120" w:after="120"/>
        <w:jc w:val="center"/>
      </w:pPr>
      <w:r>
        <w:rPr>
          <w:rFonts w:ascii="Courier New" w:hAnsi="Courier New" w:eastAsia="Courier New" w:cs="Courier New"/>
          <w:color w:val="1A1A2E"/>
          <w:sz w:val="22"/>
          <w:szCs w:val="22"/>
        </w:rPr>
        <w:t>r* = ∫₀^t* cs / a(t) dt ≈ 147,09 ± 0,26 Мпк   [DESI DR2, 2025]</w:t>
      </w:r>
      <w:r>
        <w:rPr>
          <w:rFonts w:ascii="Times New Roman" w:hAnsi="Times New Roman" w:eastAsia="Times New Roman" w:cs="Times New Roman"/>
          <w:color w:val="4A5568"/>
          <w:sz w:val="22"/>
          <w:szCs w:val="22"/>
        </w:rPr>
        <w:t xml:space="preserve">   (1)</w:t>
      </w:r>
    </w:p>
    <w:p w14:paraId="50494EE6">
      <w:pPr>
        <w:spacing w:before="0" w:after="160" w:line="276" w:lineRule="auto"/>
        <w:jc w:val="both"/>
      </w:pPr>
      <w:r>
        <w:rPr>
          <w:rFonts w:ascii="Times New Roman" w:hAnsi="Times New Roman" w:eastAsia="Times New Roman" w:cs="Times New Roman"/>
          <w:b w:val="0"/>
          <w:bCs w:val="0"/>
          <w:i w:val="0"/>
          <w:iCs w:val="0"/>
          <w:color w:val="000000"/>
          <w:sz w:val="24"/>
          <w:szCs w:val="24"/>
        </w:rPr>
        <w:t>Цей масштаб проявляється як надлишок у двоточковій функції кореляції ξ(r) при r ≈ r* [3,4,7] та як ряд гармонічних піків у спектрі потужності матерії P(k) при хвильових числах kn = nπ/r* [5,6]. З точки зору ККВПРВ, це формально ідентично умові Бреґґа для конструктивної інтерференції від кристала зі сталою ґратки d = r*:</w:t>
      </w:r>
    </w:p>
    <w:p w14:paraId="3539703E">
      <w:pPr>
        <w:spacing w:before="120" w:after="120"/>
        <w:jc w:val="center"/>
      </w:pPr>
      <w:r>
        <w:rPr>
          <w:rFonts w:ascii="Courier New" w:hAnsi="Courier New" w:eastAsia="Courier New" w:cs="Courier New"/>
          <w:color w:val="1A1A2E"/>
          <w:sz w:val="22"/>
          <w:szCs w:val="22"/>
        </w:rPr>
        <w:t>2d sinθ = nλ    ⇔    2r* sinθ = nλ_eff</w:t>
      </w:r>
      <w:r>
        <w:rPr>
          <w:rFonts w:ascii="Times New Roman" w:hAnsi="Times New Roman" w:eastAsia="Times New Roman" w:cs="Times New Roman"/>
          <w:color w:val="4A5568"/>
          <w:sz w:val="22"/>
          <w:szCs w:val="22"/>
        </w:rPr>
        <w:t xml:space="preserve">   (2)</w:t>
      </w:r>
    </w:p>
    <w:p w14:paraId="4FC3B1B2">
      <w:pPr>
        <w:spacing w:before="0" w:after="160" w:line="276" w:lineRule="auto"/>
        <w:jc w:val="both"/>
      </w:pPr>
      <w:r>
        <w:rPr>
          <w:rFonts w:ascii="Times New Roman" w:hAnsi="Times New Roman" w:eastAsia="Times New Roman" w:cs="Times New Roman"/>
          <w:b w:val="0"/>
          <w:bCs w:val="0"/>
          <w:i w:val="0"/>
          <w:iCs w:val="0"/>
          <w:color w:val="000000"/>
          <w:sz w:val="24"/>
          <w:szCs w:val="24"/>
        </w:rPr>
        <w:t>де λ_eff — ефективна довжина хвилі моди флуктуації густини. Гармонічний ряд піків BAO у P(k) є космологічним аналогом піків дифракції Бреґґа в рентгенівській кристалографії.</w:t>
      </w:r>
    </w:p>
    <w:p w14:paraId="53CC43DB">
      <w:pPr>
        <w:spacing w:before="240" w:after="80"/>
      </w:pPr>
      <w:r>
        <w:rPr>
          <w:rFonts w:ascii="Arial" w:hAnsi="Arial" w:eastAsia="Arial" w:cs="Arial"/>
          <w:b/>
          <w:bCs/>
          <w:i/>
          <w:iCs/>
          <w:color w:val="2C3A6B"/>
          <w:sz w:val="24"/>
          <w:szCs w:val="24"/>
        </w:rPr>
        <w:t>2.2 Морфологія космічної павутини та структура зерен</w:t>
      </w:r>
    </w:p>
    <w:p w14:paraId="61191DED">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Топологічна класифікація космічної павутини на філаменти (одновимірні гребені поля густини), стінки (двовимірні листи), войди (тривимірні малощільні області) та вузли (нульовимірні максимуми) встановлена багатьма методами: алгоритмом NEXUS+ [10], процедурами T-web і V-web [11] та топологічним аналізом даних на основі персистентності [23]. Отримана морфологічна статистика — криві роду, числа Бетті та функціонали Мінковського — кількісно нагадує аналогічні характеристики полікристалічних структур зерен [24].</w:t>
      </w:r>
    </w:p>
    <w:p w14:paraId="062DD2F1">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Зокрема, три морфологічні особливості точно відображаються на кристалографічні аналоги:</w:t>
      </w:r>
    </w:p>
    <w:p w14:paraId="3C2736A2">
      <w:pPr>
        <w:spacing w:before="0" w:after="160" w:line="276" w:lineRule="auto"/>
        <w:jc w:val="both"/>
      </w:pPr>
      <w:r>
        <w:rPr>
          <w:rFonts w:ascii="Times New Roman" w:hAnsi="Times New Roman" w:eastAsia="Times New Roman" w:cs="Times New Roman"/>
          <w:b w:val="0"/>
          <w:bCs w:val="0"/>
          <w:i w:val="0"/>
          <w:iCs w:val="0"/>
          <w:color w:val="000000"/>
          <w:sz w:val="24"/>
          <w:szCs w:val="24"/>
        </w:rPr>
        <w:t>Вузли (кластери галактик на перетинах філаментів) відповідають потрійним стикам у полікристалічній структурі зерен, де сходяться три чи більше меж зерен. Потрійні стики у кристалах є мінімумами енергії, стійкими до руйнування; аналогічно, вузлові кластери є гравітаційно найглибшими точками в космічній павутині і є останніми структурами, що руйнуються під впливом темноенергетичного розширення.</w:t>
      </w:r>
    </w:p>
    <w:p w14:paraId="2BE3ACE9">
      <w:pPr>
        <w:spacing w:before="0" w:after="160" w:line="276" w:lineRule="auto"/>
        <w:jc w:val="both"/>
      </w:pPr>
      <w:r>
        <w:rPr>
          <w:rFonts w:ascii="Times New Roman" w:hAnsi="Times New Roman" w:eastAsia="Times New Roman" w:cs="Times New Roman"/>
          <w:b w:val="0"/>
          <w:bCs w:val="0"/>
          <w:i w:val="0"/>
          <w:iCs w:val="0"/>
          <w:color w:val="000000"/>
          <w:sz w:val="24"/>
          <w:szCs w:val="24"/>
        </w:rPr>
        <w:t>Філаменти та стінки відповідають межам зерен — поверхням невідповідності між сусідніми кристалічними доменами. У космічній павутині філаменти позначають межі між сусідніми войдами, так само як межі зерен позначають інтерфейси між доменами різної кристалографічної орієнтації.</w:t>
      </w:r>
    </w:p>
    <w:p w14:paraId="2EDA293F">
      <w:pPr>
        <w:spacing w:before="0" w:after="160" w:line="276" w:lineRule="auto"/>
        <w:jc w:val="both"/>
      </w:pPr>
      <w:r>
        <w:rPr>
          <w:rFonts w:ascii="Times New Roman" w:hAnsi="Times New Roman" w:eastAsia="Times New Roman" w:cs="Times New Roman"/>
          <w:b w:val="0"/>
          <w:bCs w:val="0"/>
          <w:i w:val="0"/>
          <w:iCs w:val="0"/>
          <w:color w:val="000000"/>
          <w:sz w:val="24"/>
          <w:szCs w:val="24"/>
        </w:rPr>
        <w:t>Войди відповідають самим зернам — малощільним внутрішнім областям, оточеним філаментними стінками. Розподіл розмірів войдів, що підпорядковується модифікованій функції Пресса-Шехтера [25], аналогічний розподілу розмірів зерен у полікристалі, що описується логнормальним або розподілом Вейбулла залежно від кінетики нуклеації [26].</w:t>
      </w:r>
    </w:p>
    <w:p w14:paraId="37015660">
      <w:pPr>
        <w:spacing w:before="360" w:after="120"/>
      </w:pPr>
      <w:r>
        <w:rPr>
          <w:rFonts w:ascii="Arial" w:hAnsi="Arial" w:eastAsia="Arial" w:cs="Arial"/>
          <w:b/>
          <w:bCs/>
          <w:color w:val="1A1A2E"/>
          <w:sz w:val="24"/>
          <w:szCs w:val="24"/>
        </w:rPr>
        <w:t>3. ОХОЛОДЖУВАНИЙ ВАКУУМ ЯК ПЕРЕСИЧЕНЕ СЕРЕДОВИЩЕ КРИСТАЛІЗАЦІЇ</w:t>
      </w:r>
    </w:p>
    <w:p w14:paraId="712773CD">
      <w:pPr>
        <w:spacing w:before="240" w:after="80"/>
      </w:pPr>
      <w:r>
        <w:rPr>
          <w:rFonts w:ascii="Arial" w:hAnsi="Arial" w:eastAsia="Arial" w:cs="Arial"/>
          <w:b/>
          <w:bCs/>
          <w:i/>
          <w:iCs/>
          <w:color w:val="2C3A6B"/>
          <w:sz w:val="24"/>
          <w:szCs w:val="24"/>
        </w:rPr>
        <w:t>3.1 Модель біжучого вакууму</w:t>
      </w:r>
    </w:p>
    <w:p w14:paraId="29A938B7">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Модель біжучого вакууму (МБВ) забезпечує термодинамічну основу для ККВПРВ. У МБВ густина вакуумної енергії не є сталою, а змінюється разом зі швидкістю Габбла H [12,13]:</w:t>
      </w:r>
    </w:p>
    <w:p w14:paraId="708CCD61">
      <w:pPr>
        <w:spacing w:before="120" w:after="120"/>
        <w:jc w:val="center"/>
      </w:pPr>
      <w:r>
        <w:rPr>
          <w:rFonts w:ascii="Courier New" w:hAnsi="Courier New" w:eastAsia="Courier New" w:cs="Courier New"/>
          <w:color w:val="1A1A2E"/>
          <w:sz w:val="22"/>
          <w:szCs w:val="22"/>
        </w:rPr>
        <w:t>ρvac(H) = C₀ + νm²H²/M²pl + αH⁴/H²I</w:t>
      </w:r>
      <w:r>
        <w:rPr>
          <w:rFonts w:ascii="Times New Roman" w:hAnsi="Times New Roman" w:eastAsia="Times New Roman" w:cs="Times New Roman"/>
          <w:color w:val="4A5568"/>
          <w:sz w:val="22"/>
          <w:szCs w:val="22"/>
        </w:rPr>
        <w:t xml:space="preserve">   (3)</w:t>
      </w:r>
    </w:p>
    <w:p w14:paraId="3F221B38">
      <w:pPr>
        <w:spacing w:before="0" w:after="160" w:line="276" w:lineRule="auto"/>
        <w:jc w:val="both"/>
      </w:pPr>
      <w:r>
        <w:rPr>
          <w:rFonts w:ascii="Times New Roman" w:hAnsi="Times New Roman" w:eastAsia="Times New Roman" w:cs="Times New Roman"/>
          <w:b w:val="0"/>
          <w:bCs w:val="0"/>
          <w:i w:val="0"/>
          <w:iCs w:val="0"/>
          <w:color w:val="000000"/>
          <w:sz w:val="24"/>
          <w:szCs w:val="24"/>
        </w:rPr>
        <w:t>де C₀ — нинішня підлога вакуумної енергії, m — характерний масштаб мас квантових полів, що вносять вклад у біг вакууму, Mpl — маса Планка, HI — швидкість Габбла під час інфляції, а ν, α — безрозмірні коефіцієнти бігу. Адіабатична ренормалізація тензора напруги-енергії у викривленому просторі-часі показує, що квартичні розбіжності (~m⁴) скорочуються точно, залишаючи залишкові члени m²H² та H⁴ [13]. Коефіцієнт бігу ν ~ 10⁻³ узгоджується з обмеженнями DESI DR2 на рівняння стану темної енергії w₀ = -0,99 ± 0,04, wa = -0,37 ± 0,14 [8], які відхиляються від значення космологічної сталої приблизно на 3σ.</w:t>
      </w:r>
    </w:p>
    <w:p w14:paraId="3959AA78">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Температура Гіббонса-Гокінга простору де Ситтера [27],</w:t>
      </w:r>
    </w:p>
    <w:p w14:paraId="7272D3F0">
      <w:pPr>
        <w:spacing w:before="120" w:after="120"/>
        <w:jc w:val="center"/>
      </w:pPr>
      <w:r>
        <w:rPr>
          <w:rFonts w:ascii="Courier New" w:hAnsi="Courier New" w:eastAsia="Courier New" w:cs="Courier New"/>
          <w:color w:val="1A1A2E"/>
          <w:sz w:val="22"/>
          <w:szCs w:val="22"/>
        </w:rPr>
        <w:t>T_dS = ħH / 2πkBc</w:t>
      </w:r>
      <w:r>
        <w:rPr>
          <w:rFonts w:ascii="Times New Roman" w:hAnsi="Times New Roman" w:eastAsia="Times New Roman" w:cs="Times New Roman"/>
          <w:color w:val="4A5568"/>
          <w:sz w:val="22"/>
          <w:szCs w:val="22"/>
        </w:rPr>
        <w:t xml:space="preserve">   (4)</w:t>
      </w:r>
    </w:p>
    <w:p w14:paraId="3054F83B">
      <w:pPr>
        <w:spacing w:before="0" w:after="160" w:line="276" w:lineRule="auto"/>
        <w:jc w:val="both"/>
      </w:pPr>
      <w:r>
        <w:rPr>
          <w:rFonts w:ascii="Times New Roman" w:hAnsi="Times New Roman" w:eastAsia="Times New Roman" w:cs="Times New Roman"/>
          <w:b w:val="0"/>
          <w:bCs w:val="0"/>
          <w:i w:val="0"/>
          <w:iCs w:val="0"/>
          <w:color w:val="000000"/>
          <w:sz w:val="24"/>
          <w:szCs w:val="24"/>
        </w:rPr>
        <w:t>наділяє вакуум справжньою термодинамічною температурою, що змінюється разом з H. Зі зменшенням H від інфляційного значення HI до нинішнього H₀ і, зрештою, до асимптотичної підлоги де Ситтера H∞ = H₀√ΩΛ, T_dS спадає від ~10¹² К до ~10⁻³⁰ К. Ця хронологія охолодження є термодинамічним хребтом ККВПРВ.</w:t>
      </w:r>
    </w:p>
    <w:p w14:paraId="049C9DC3">
      <w:pPr>
        <w:spacing w:before="240" w:after="80"/>
      </w:pPr>
      <w:r>
        <w:rPr>
          <w:rFonts w:ascii="Arial" w:hAnsi="Arial" w:eastAsia="Arial" w:cs="Arial"/>
          <w:b/>
          <w:bCs/>
          <w:i/>
          <w:iCs/>
          <w:color w:val="2C3A6B"/>
          <w:sz w:val="24"/>
          <w:szCs w:val="24"/>
        </w:rPr>
        <w:t>3.2 Пересичення та умова нуклеації</w:t>
      </w:r>
    </w:p>
    <w:p w14:paraId="3E4E8812">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У класичній теорії нуклеації середовище є пересиченим, коли його вільна енергія перевищує енергію термодинамічно бажаної впорядкованої фази більш ніж на бар'єр нуклеації ΔG*. Ступінь пересичення S = P/Peq визначає швидкість нуклеації:</w:t>
      </w:r>
    </w:p>
    <w:p w14:paraId="7F2F73F1">
      <w:pPr>
        <w:spacing w:before="120" w:after="120"/>
        <w:jc w:val="center"/>
      </w:pPr>
      <w:r>
        <w:rPr>
          <w:rFonts w:ascii="Courier New" w:hAnsi="Courier New" w:eastAsia="Courier New" w:cs="Courier New"/>
          <w:color w:val="1A1A2E"/>
          <w:sz w:val="22"/>
          <w:szCs w:val="22"/>
        </w:rPr>
        <w:t>J = A exp(-ΔG*/kBT) = A exp(-16πγ³ / 3kBT [Δμ]^2)</w:t>
      </w:r>
      <w:r>
        <w:rPr>
          <w:rFonts w:ascii="Times New Roman" w:hAnsi="Times New Roman" w:eastAsia="Times New Roman" w:cs="Times New Roman"/>
          <w:color w:val="4A5568"/>
          <w:sz w:val="22"/>
          <w:szCs w:val="22"/>
        </w:rPr>
        <w:t xml:space="preserve">   (5)</w:t>
      </w:r>
    </w:p>
    <w:p w14:paraId="76D5C421">
      <w:pPr>
        <w:spacing w:before="0" w:after="160" w:line="276" w:lineRule="auto"/>
        <w:jc w:val="both"/>
      </w:pPr>
      <w:r>
        <w:rPr>
          <w:rFonts w:ascii="Times New Roman" w:hAnsi="Times New Roman" w:eastAsia="Times New Roman" w:cs="Times New Roman"/>
          <w:b w:val="0"/>
          <w:bCs w:val="0"/>
          <w:i w:val="0"/>
          <w:iCs w:val="0"/>
          <w:color w:val="000000"/>
          <w:sz w:val="24"/>
          <w:szCs w:val="24"/>
        </w:rPr>
        <w:t>де γ — міжфазна енергія, а Δμ — різниця хімічного потенціалу між пересиченою та рівноважною фазами.</w:t>
      </w:r>
    </w:p>
    <w:p w14:paraId="36D68AA0">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У космологічному контексті після інфляційна плазма являє собою пересичене середовище у такому точному сенсі. Густина вакуумної енергії ρvac(H) під час інфляції на багато порядків перевищує кінцеву рівноважну густину речовини-випромінення ρeq в момент рівності. Відношення:</w:t>
      </w:r>
    </w:p>
    <w:p w14:paraId="2256CA7B">
      <w:pPr>
        <w:spacing w:before="120" w:after="120"/>
        <w:jc w:val="center"/>
      </w:pPr>
      <w:r>
        <w:rPr>
          <w:rFonts w:ascii="Courier New" w:hAnsi="Courier New" w:eastAsia="Courier New" w:cs="Courier New"/>
          <w:color w:val="1A1A2E"/>
          <w:sz w:val="22"/>
          <w:szCs w:val="22"/>
        </w:rPr>
        <w:t>S_cosmo ≡ ρvac(HI) / ρvac(H∞) ~ (HI/H∞)^4 / α + (HI/H∞)^2 ν &gt;&gt; 1</w:t>
      </w:r>
      <w:r>
        <w:rPr>
          <w:rFonts w:ascii="Times New Roman" w:hAnsi="Times New Roman" w:eastAsia="Times New Roman" w:cs="Times New Roman"/>
          <w:color w:val="4A5568"/>
          <w:sz w:val="22"/>
          <w:szCs w:val="22"/>
        </w:rPr>
        <w:t xml:space="preserve">   (6)</w:t>
      </w:r>
    </w:p>
    <w:p w14:paraId="68BA6E32">
      <w:pPr>
        <w:spacing w:before="0" w:after="160" w:line="276" w:lineRule="auto"/>
        <w:jc w:val="both"/>
      </w:pPr>
      <w:r>
        <w:rPr>
          <w:rFonts w:ascii="Times New Roman" w:hAnsi="Times New Roman" w:eastAsia="Times New Roman" w:cs="Times New Roman"/>
          <w:b w:val="0"/>
          <w:bCs w:val="0"/>
          <w:i w:val="0"/>
          <w:iCs w:val="0"/>
          <w:color w:val="000000"/>
          <w:sz w:val="24"/>
          <w:szCs w:val="24"/>
        </w:rPr>
        <w:t>є величезним під час інфляції і монотонно спадає зі зменшенням H. Всесвіт глибоко пересичений щодо свого кінцевого основного стану де Ситтера протягом усієї інфляційної та радіаційно-домінованої ер. Аналогія з переохолодженою рідиною, що наближається до кристалізації, тому не є лише якісною: обидві системи характеризуються надлишком вільної енергії, що спонукає до фазового розшарування, швидкістю охолодження, що визначає розмір зерна, та процесом нуклеації, що визначає топологію зерен.</w:t>
      </w:r>
    </w:p>
    <w:p w14:paraId="72687FB6">
      <w:pPr>
        <w:spacing w:before="240" w:after="80"/>
      </w:pPr>
      <w:r>
        <w:rPr>
          <w:rFonts w:ascii="Arial" w:hAnsi="Arial" w:eastAsia="Arial" w:cs="Arial"/>
          <w:b/>
          <w:bCs/>
          <w:i/>
          <w:iCs/>
          <w:color w:val="2C3A6B"/>
          <w:sz w:val="24"/>
          <w:szCs w:val="24"/>
        </w:rPr>
        <w:t>3.3 Механізм Кіббла як універсальне кристалоутворення</w:t>
      </w:r>
    </w:p>
    <w:p w14:paraId="2A416B89">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Коли система з неперервною групою симетрії G охолоджується через фазовий перехід до підгрупи H, многовид вакууму π₀(G/H) визначає топологію дефектів, що утворюються [16]. Це механізм Кіббла, і його наслідки є універсальними:</w:t>
      </w:r>
    </w:p>
    <w:p w14:paraId="343D8B69">
      <w:pPr>
        <w:spacing w:before="0" w:after="160" w:line="276" w:lineRule="auto"/>
        <w:jc w:val="both"/>
      </w:pPr>
      <w:r>
        <w:rPr>
          <w:rFonts w:ascii="Times New Roman" w:hAnsi="Times New Roman" w:eastAsia="Times New Roman" w:cs="Times New Roman"/>
          <w:b w:val="0"/>
          <w:bCs w:val="0"/>
          <w:i w:val="0"/>
          <w:iCs w:val="0"/>
          <w:color w:val="000000"/>
          <w:sz w:val="24"/>
          <w:szCs w:val="24"/>
        </w:rPr>
        <w:t>У рідкому кристалі, що охолоджується нижче нематичного переходу: π₁(S¹) = ℤ → лінії дискліна цій</w:t>
      </w:r>
    </w:p>
    <w:p w14:paraId="168C0B75">
      <w:pPr>
        <w:spacing w:before="0" w:after="160" w:line="276" w:lineRule="auto"/>
        <w:jc w:val="both"/>
      </w:pPr>
      <w:r>
        <w:rPr>
          <w:rFonts w:ascii="Times New Roman" w:hAnsi="Times New Roman" w:eastAsia="Times New Roman" w:cs="Times New Roman"/>
          <w:b w:val="0"/>
          <w:bCs w:val="0"/>
          <w:i w:val="0"/>
          <w:iCs w:val="0"/>
          <w:color w:val="000000"/>
          <w:sz w:val="24"/>
          <w:szCs w:val="24"/>
        </w:rPr>
        <w:t>У надпровіднику типу II: π₁(U(1)) = ℤ → вихори потоку Абрикосова</w:t>
      </w:r>
    </w:p>
    <w:p w14:paraId="1FDA43B2">
      <w:pPr>
        <w:spacing w:before="0" w:after="160" w:line="276" w:lineRule="auto"/>
        <w:jc w:val="both"/>
      </w:pPr>
      <w:r>
        <w:rPr>
          <w:rFonts w:ascii="Times New Roman" w:hAnsi="Times New Roman" w:eastAsia="Times New Roman" w:cs="Times New Roman"/>
          <w:b w:val="0"/>
          <w:bCs w:val="0"/>
          <w:i w:val="0"/>
          <w:iCs w:val="0"/>
          <w:color w:val="000000"/>
          <w:sz w:val="24"/>
          <w:szCs w:val="24"/>
        </w:rPr>
        <w:t>У ранньому Всесвіті при переході ВОС: π₂(G/H) ≠ 0 → монополі; π₁ ≠ 0 → космічні струни</w:t>
      </w:r>
    </w:p>
    <w:p w14:paraId="3D97E017">
      <w:pPr>
        <w:spacing w:before="0" w:after="160" w:line="276" w:lineRule="auto"/>
        <w:jc w:val="both"/>
      </w:pPr>
      <w:r>
        <w:rPr>
          <w:rFonts w:ascii="Times New Roman" w:hAnsi="Times New Roman" w:eastAsia="Times New Roman" w:cs="Times New Roman"/>
          <w:b w:val="0"/>
          <w:bCs w:val="0"/>
          <w:i w:val="0"/>
          <w:iCs w:val="0"/>
          <w:color w:val="000000"/>
          <w:sz w:val="24"/>
          <w:szCs w:val="24"/>
        </w:rPr>
        <w:t>У вищовимірному об'ємі, що охолоджується (ККВПРВ): вищовимірний аналог вищесказаного → дефекти, що перетинають тривимірний зріз як струноподібні або точкові затравки</w:t>
      </w:r>
    </w:p>
    <w:p w14:paraId="651B46CB">
      <w:pPr>
        <w:spacing w:before="0" w:after="160" w:line="276" w:lineRule="auto"/>
        <w:jc w:val="both"/>
      </w:pPr>
      <w:r>
        <w:rPr>
          <w:rFonts w:ascii="Times New Roman" w:hAnsi="Times New Roman" w:eastAsia="Times New Roman" w:cs="Times New Roman"/>
          <w:b w:val="0"/>
          <w:bCs w:val="0"/>
          <w:i w:val="0"/>
          <w:iCs w:val="0"/>
          <w:color w:val="000000"/>
          <w:sz w:val="24"/>
          <w:szCs w:val="24"/>
        </w:rPr>
        <w:t>Математична структура формування доменів у всіх випадках однакова. Скейлінгове співвідношення Зурека-Кіббла передбачає густину дефектів як функцію швидкості охолодження та кореляційної довжини при критичній температурі [28]. У застосуванні до космологічного випадку це передбачає характерний інтервал між зародками нуклеації ξ ~ (H* t*)^{1/2}, де H* та t* — швидкість Габбла та час при вищовимірному фазовому переході. Масштаб BAO r* є у ККВПРВ космологічним втіленням цього інтервалу Зурека-Кіббла.</w:t>
      </w:r>
    </w:p>
    <w:p w14:paraId="1FC7C6E9">
      <w:pPr>
        <w:spacing w:before="360" w:after="120"/>
      </w:pPr>
      <w:r>
        <w:rPr>
          <w:rFonts w:ascii="Arial" w:hAnsi="Arial" w:eastAsia="Arial" w:cs="Arial"/>
          <w:b/>
          <w:bCs/>
          <w:color w:val="1A1A2E"/>
          <w:sz w:val="24"/>
          <w:szCs w:val="24"/>
        </w:rPr>
        <w:t>4. ВИЩОВИМІРНИЙ МЕХАНІЗМ НУКЛЕАЦІЇ: ПЕРЕТИНИ БРАНЕЙ ЯК ЗАТРАВОЧНІ ДИСЛОКАЦІЇ</w:t>
      </w:r>
    </w:p>
    <w:p w14:paraId="26EDB285">
      <w:pPr>
        <w:spacing w:before="240" w:after="80"/>
      </w:pPr>
      <w:r>
        <w:rPr>
          <w:rFonts w:ascii="Arial" w:hAnsi="Arial" w:eastAsia="Arial" w:cs="Arial"/>
          <w:b/>
          <w:bCs/>
          <w:i/>
          <w:iCs/>
          <w:color w:val="2C3A6B"/>
          <w:sz w:val="24"/>
          <w:szCs w:val="24"/>
        </w:rPr>
        <w:t>4.1 Концепція вкладення</w:t>
      </w:r>
    </w:p>
    <w:p w14:paraId="4B8835F1">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Ми моделюємо спостережуваний Всесвіт як 3+1-вимірну гіперповерхню (брань) Σ, вкладену у N-вимірний об'ємний многовид ℳ з координатами (x¹, ..., x³, y¹, ..., y^{N-4}), де xµ — координати Σ, а y^i — додаткові координати. Положення брані задається функцією обмеження:</w:t>
      </w:r>
    </w:p>
    <w:p w14:paraId="1364B1F8">
      <w:pPr>
        <w:spacing w:before="120" w:after="120"/>
        <w:jc w:val="center"/>
      </w:pPr>
      <w:r>
        <w:rPr>
          <w:rFonts w:ascii="Courier New" w:hAnsi="Courier New" w:eastAsia="Courier New" w:cs="Courier New"/>
          <w:color w:val="1A1A2E"/>
          <w:sz w:val="22"/>
          <w:szCs w:val="22"/>
        </w:rPr>
        <w:t>Σ = {(x, y) ∈ ℳ : y^i = f^i(x)},    i = 1, ..., N-4</w:t>
      </w:r>
      <w:r>
        <w:rPr>
          <w:rFonts w:ascii="Times New Roman" w:hAnsi="Times New Roman" w:eastAsia="Times New Roman" w:cs="Times New Roman"/>
          <w:color w:val="4A5568"/>
          <w:sz w:val="22"/>
          <w:szCs w:val="22"/>
        </w:rPr>
        <w:t xml:space="preserve">   (7)</w:t>
      </w:r>
    </w:p>
    <w:p w14:paraId="70660D64">
      <w:pPr>
        <w:spacing w:before="0" w:after="160" w:line="276" w:lineRule="auto"/>
        <w:jc w:val="both"/>
      </w:pPr>
      <w:r>
        <w:rPr>
          <w:rFonts w:ascii="Times New Roman" w:hAnsi="Times New Roman" w:eastAsia="Times New Roman" w:cs="Times New Roman"/>
          <w:b w:val="0"/>
          <w:bCs w:val="0"/>
          <w:i w:val="0"/>
          <w:iCs w:val="0"/>
          <w:color w:val="000000"/>
          <w:sz w:val="24"/>
          <w:szCs w:val="24"/>
        </w:rPr>
        <w:t>У найпростішому випадку (пласка брань) f^i = const., і поле густини матерії у 3D є проекцією поля густини об'єму:</w:t>
      </w:r>
    </w:p>
    <w:p w14:paraId="30597874">
      <w:pPr>
        <w:spacing w:before="120" w:after="120"/>
        <w:jc w:val="center"/>
      </w:pPr>
      <w:r>
        <w:rPr>
          <w:rFonts w:ascii="Courier New" w:hAnsi="Courier New" w:eastAsia="Courier New" w:cs="Courier New"/>
          <w:color w:val="1A1A2E"/>
          <w:sz w:val="22"/>
          <w:szCs w:val="22"/>
        </w:rPr>
        <w:t>ρ_3D(x) = ∫ ρ_ND(x, y) δ^{N-4}(y - y_brane) d^{N-4}y</w:t>
      </w:r>
      <w:r>
        <w:rPr>
          <w:rFonts w:ascii="Times New Roman" w:hAnsi="Times New Roman" w:eastAsia="Times New Roman" w:cs="Times New Roman"/>
          <w:color w:val="4A5568"/>
          <w:sz w:val="22"/>
          <w:szCs w:val="22"/>
        </w:rPr>
        <w:t xml:space="preserve">   (8)</w:t>
      </w:r>
    </w:p>
    <w:p w14:paraId="78DBFD64">
      <w:pPr>
        <w:spacing w:before="0" w:after="160" w:line="276" w:lineRule="auto"/>
        <w:jc w:val="both"/>
      </w:pPr>
      <w:r>
        <w:rPr>
          <w:rFonts w:ascii="Times New Roman" w:hAnsi="Times New Roman" w:eastAsia="Times New Roman" w:cs="Times New Roman"/>
          <w:b w:val="0"/>
          <w:bCs w:val="0"/>
          <w:i w:val="0"/>
          <w:iCs w:val="0"/>
          <w:color w:val="000000"/>
          <w:sz w:val="24"/>
          <w:szCs w:val="24"/>
        </w:rPr>
        <w:t>Будь-яка локалізована структура в об'ємі — перетин браней, топологічний дефект, резонанс Калуци-Кляйна, — що має підтримку поблизу y = ybrane, створюватиме підвищену густину у ρ_3D(x). Геометрія цього підвищення у 3D повністю визначається геометрією об'ємної структури:</w:t>
      </w:r>
    </w:p>
    <w:p w14:paraId="395966DD">
      <w:pPr>
        <w:spacing w:before="0" w:after="160" w:line="276" w:lineRule="auto"/>
        <w:jc w:val="both"/>
      </w:pPr>
      <w:r>
        <w:rPr>
          <w:rFonts w:ascii="Times New Roman" w:hAnsi="Times New Roman" w:eastAsia="Times New Roman" w:cs="Times New Roman"/>
          <w:b w:val="0"/>
          <w:bCs w:val="0"/>
          <w:i w:val="0"/>
          <w:iCs w:val="0"/>
          <w:color w:val="000000"/>
          <w:sz w:val="24"/>
          <w:szCs w:val="24"/>
        </w:rPr>
        <w:t>Точковий дефект об'єму, що перетинає Σ → 3D монополь (кандидат на затравку гало темної матерії)</w:t>
      </w:r>
    </w:p>
    <w:p w14:paraId="692A3909">
      <w:pPr>
        <w:spacing w:before="0" w:after="160" w:line="276" w:lineRule="auto"/>
        <w:jc w:val="both"/>
      </w:pPr>
      <w:r>
        <w:rPr>
          <w:rFonts w:ascii="Times New Roman" w:hAnsi="Times New Roman" w:eastAsia="Times New Roman" w:cs="Times New Roman"/>
          <w:b w:val="0"/>
          <w:bCs w:val="0"/>
          <w:i w:val="0"/>
          <w:iCs w:val="0"/>
          <w:color w:val="000000"/>
          <w:sz w:val="24"/>
          <w:szCs w:val="24"/>
        </w:rPr>
        <w:t>Об'ємна струна, що перетинає Σ → 3D філамент (філамент космічної павутини)</w:t>
      </w:r>
    </w:p>
    <w:p w14:paraId="760FA0DA">
      <w:pPr>
        <w:spacing w:before="0" w:after="160" w:line="276" w:lineRule="auto"/>
        <w:jc w:val="both"/>
      </w:pPr>
      <w:r>
        <w:rPr>
          <w:rFonts w:ascii="Times New Roman" w:hAnsi="Times New Roman" w:eastAsia="Times New Roman" w:cs="Times New Roman"/>
          <w:b w:val="0"/>
          <w:bCs w:val="0"/>
          <w:i w:val="0"/>
          <w:iCs w:val="0"/>
          <w:color w:val="000000"/>
          <w:sz w:val="24"/>
          <w:szCs w:val="24"/>
        </w:rPr>
        <w:t>Доменна стінка об'єму, що перетинає Σ → 3D лист (стінка космічної павутини)</w:t>
      </w:r>
    </w:p>
    <w:p w14:paraId="08F99590">
      <w:pPr>
        <w:spacing w:before="0" w:after="160" w:line="276" w:lineRule="auto"/>
        <w:jc w:val="both"/>
      </w:pPr>
      <w:r>
        <w:rPr>
          <w:rFonts w:ascii="Times New Roman" w:hAnsi="Times New Roman" w:eastAsia="Times New Roman" w:cs="Times New Roman"/>
          <w:b w:val="0"/>
          <w:bCs w:val="0"/>
          <w:i w:val="0"/>
          <w:iCs w:val="0"/>
          <w:color w:val="000000"/>
          <w:sz w:val="24"/>
          <w:szCs w:val="24"/>
        </w:rPr>
        <w:t>Ґратка дефектів об'єму, що перетинає Σ → 3D періодична структура зі сталою ґратки об'єму (регулярність масштабу BAO)</w:t>
      </w:r>
    </w:p>
    <w:p w14:paraId="3F16B906">
      <w:pPr>
        <w:spacing w:before="240" w:after="80"/>
      </w:pPr>
      <w:r>
        <w:rPr>
          <w:rFonts w:ascii="Arial" w:hAnsi="Arial" w:eastAsia="Arial" w:cs="Arial"/>
          <w:b/>
          <w:bCs/>
          <w:i/>
          <w:iCs/>
          <w:color w:val="2C3A6B"/>
          <w:sz w:val="24"/>
          <w:szCs w:val="24"/>
        </w:rPr>
        <w:t>4.2 Формула проекції нуклеації</w:t>
      </w:r>
    </w:p>
    <w:p w14:paraId="6E3A7250">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Нехай ρ_defect(y) позначає поле густини топологічного дефекту в об'ємі, що має максимум у певному положенні y₀ з просторовим розмахом δy у напрямках додаткових вимірів. Амплітуда затравки нуклеації у 3D:</w:t>
      </w:r>
    </w:p>
    <w:p w14:paraId="462C5CB1">
      <w:pPr>
        <w:spacing w:before="120" w:after="120"/>
        <w:jc w:val="center"/>
      </w:pPr>
      <w:r>
        <w:rPr>
          <w:rFonts w:ascii="Courier New" w:hAnsi="Courier New" w:eastAsia="Courier New" w:cs="Courier New"/>
          <w:color w:val="1A1A2E"/>
          <w:sz w:val="22"/>
          <w:szCs w:val="22"/>
        </w:rPr>
        <w:t>ρ_seed(x) = g_{N-4} ∫ ρ_defect(x, y) K(y - y_brane) d^{N-4}y</w:t>
      </w:r>
      <w:r>
        <w:rPr>
          <w:rFonts w:ascii="Times New Roman" w:hAnsi="Times New Roman" w:eastAsia="Times New Roman" w:cs="Times New Roman"/>
          <w:color w:val="4A5568"/>
          <w:sz w:val="22"/>
          <w:szCs w:val="22"/>
        </w:rPr>
        <w:t xml:space="preserve">   (9)</w:t>
      </w:r>
    </w:p>
    <w:p w14:paraId="5B6F0CD7">
      <w:pPr>
        <w:spacing w:before="0" w:after="160" w:line="276" w:lineRule="auto"/>
        <w:jc w:val="both"/>
      </w:pPr>
      <w:r>
        <w:rPr>
          <w:rFonts w:ascii="Times New Roman" w:hAnsi="Times New Roman" w:eastAsia="Times New Roman" w:cs="Times New Roman"/>
          <w:b w:val="0"/>
          <w:bCs w:val="0"/>
          <w:i w:val="0"/>
          <w:iCs w:val="0"/>
          <w:color w:val="000000"/>
          <w:sz w:val="24"/>
          <w:szCs w:val="24"/>
        </w:rPr>
        <w:t>де g_{N-4} — (N-4)-вимірна стала зв'язку, а K(y) — ядро, що кодує деформацію додаткових вимірів. Для експоненціально деформованої геометрії Рандалла-Сандрума [29] K(y) = e^{-k|y|} і ефективна 3D стала зв'язку:</w:t>
      </w:r>
    </w:p>
    <w:p w14:paraId="5ADA06FC">
      <w:pPr>
        <w:spacing w:before="120" w:after="120"/>
        <w:jc w:val="center"/>
      </w:pPr>
      <w:r>
        <w:rPr>
          <w:rFonts w:ascii="Courier New" w:hAnsi="Courier New" w:eastAsia="Courier New" w:cs="Courier New"/>
          <w:color w:val="1A1A2E"/>
          <w:sz w:val="22"/>
          <w:szCs w:val="22"/>
        </w:rPr>
        <w:t>g_eff = g_{N-4} / (k δy)^{(N-4)/2}</w:t>
      </w:r>
      <w:r>
        <w:rPr>
          <w:rFonts w:ascii="Times New Roman" w:hAnsi="Times New Roman" w:eastAsia="Times New Roman" w:cs="Times New Roman"/>
          <w:color w:val="4A5568"/>
          <w:sz w:val="22"/>
          <w:szCs w:val="22"/>
        </w:rPr>
        <w:t xml:space="preserve">   (10)</w:t>
      </w:r>
    </w:p>
    <w:p w14:paraId="14DEEB57">
      <w:pPr>
        <w:spacing w:before="0" w:after="160" w:line="276" w:lineRule="auto"/>
        <w:jc w:val="both"/>
      </w:pPr>
      <w:r>
        <w:rPr>
          <w:rFonts w:ascii="Times New Roman" w:hAnsi="Times New Roman" w:eastAsia="Times New Roman" w:cs="Times New Roman"/>
          <w:b w:val="0"/>
          <w:bCs w:val="0"/>
          <w:i w:val="0"/>
          <w:iCs w:val="0"/>
          <w:color w:val="000000"/>
          <w:sz w:val="24"/>
          <w:szCs w:val="24"/>
        </w:rPr>
        <w:t>Це пригнічення ефективної сталої зв'язку деформаційним фактором дає природне пояснення того, чому гравітаційні ефекти об'єму на 3D-фізику слабкі — вони експоненціально пригнічені масштабом компактифікації.</w:t>
      </w:r>
    </w:p>
    <w:p w14:paraId="0EE06BA0">
      <w:pPr>
        <w:spacing w:before="240" w:after="80"/>
      </w:pPr>
      <w:r>
        <w:rPr>
          <w:rFonts w:ascii="Arial" w:hAnsi="Arial" w:eastAsia="Arial" w:cs="Arial"/>
          <w:b/>
          <w:bCs/>
          <w:i/>
          <w:iCs/>
          <w:color w:val="2C3A6B"/>
          <w:sz w:val="24"/>
          <w:szCs w:val="24"/>
        </w:rPr>
        <w:t>4.3 Чому масштаб BAO є сталою ґратки</w:t>
      </w:r>
    </w:p>
    <w:p w14:paraId="54C57D11">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У класичній кристалографії стала ґратки визначається балансом між відштовхувальними короткодіючими та притягальними далекодіючими силами, що діють на складові атоми. У ККВПРВ аналогічний баланс:</w:t>
      </w:r>
    </w:p>
    <w:p w14:paraId="14E34962">
      <w:pPr>
        <w:spacing w:before="0" w:after="160" w:line="276" w:lineRule="auto"/>
        <w:jc w:val="both"/>
      </w:pPr>
      <w:r>
        <w:rPr>
          <w:rFonts w:ascii="Times New Roman" w:hAnsi="Times New Roman" w:eastAsia="Times New Roman" w:cs="Times New Roman"/>
          <w:b w:val="0"/>
          <w:bCs w:val="0"/>
          <w:i w:val="0"/>
          <w:iCs w:val="0"/>
          <w:color w:val="000000"/>
          <w:sz w:val="24"/>
          <w:szCs w:val="24"/>
        </w:rPr>
        <w:t>Притягання: гравітаційне скупчення матерії навколо зародків нуклеації на масштабах λ &lt; r_J (довжина Джинса)</w:t>
      </w:r>
    </w:p>
    <w:p w14:paraId="3F912530">
      <w:pPr>
        <w:spacing w:before="0" w:after="160" w:line="276" w:lineRule="auto"/>
        <w:jc w:val="both"/>
      </w:pPr>
      <w:r>
        <w:rPr>
          <w:rFonts w:ascii="Times New Roman" w:hAnsi="Times New Roman" w:eastAsia="Times New Roman" w:cs="Times New Roman"/>
          <w:b w:val="0"/>
          <w:bCs w:val="0"/>
          <w:i w:val="0"/>
          <w:iCs w:val="0"/>
          <w:color w:val="000000"/>
          <w:sz w:val="24"/>
          <w:szCs w:val="24"/>
        </w:rPr>
        <w:t>Відштовхування: тиск випромінення фотон-баріонної плазми, що підтримує акустичні хвилі зі швидкістю фази cs = c/√3(1+R), де R = 3ρb/4ργ</w:t>
      </w:r>
    </w:p>
    <w:p w14:paraId="493C3849">
      <w:pPr>
        <w:spacing w:before="0" w:after="160" w:line="276" w:lineRule="auto"/>
        <w:jc w:val="both"/>
      </w:pPr>
      <w:r>
        <w:rPr>
          <w:rFonts w:ascii="Times New Roman" w:hAnsi="Times New Roman" w:eastAsia="Times New Roman" w:cs="Times New Roman"/>
          <w:b w:val="0"/>
          <w:bCs w:val="0"/>
          <w:i w:val="0"/>
          <w:iCs w:val="0"/>
          <w:color w:val="000000"/>
          <w:sz w:val="24"/>
          <w:szCs w:val="24"/>
        </w:rPr>
        <w:t>Баланс між цими силами визначає горизонт звуку r* в момент рекомбінації — масштаб, на якому акустичні осциляції заморожуються у розподілі матерії. Це і є космологічна стала ґратки.</w:t>
      </w:r>
    </w:p>
    <w:p w14:paraId="476271BD">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У ККВПРВ r* має подвійну інтерпретацію. З точки зору стандартної космології, це сп ів рухома відстань, пройдена акустичною хвилею від Великого Вибуху до рекомбінації. З кристалографічної точки зору, це рівноважний інтервал кристалічної ґратки, що задається ефективним міжчастинковим потенціалом у фотон-баріонній рідині. Ці два описи не суперечать одне одному — вони є дуальними описами одного й того самого фізичного явища, аналогічно тому, як дисперсійне співвідношення фононів у кристалі може бути виведено як з мікроскопічних пружних сталих, так і з макроскопічних пружних модулів.</w:t>
      </w:r>
    </w:p>
    <w:p w14:paraId="28C63401">
      <w:pPr>
        <w:spacing w:before="360" w:after="120"/>
      </w:pPr>
      <w:r>
        <w:rPr>
          <w:rFonts w:ascii="Arial" w:hAnsi="Arial" w:eastAsia="Arial" w:cs="Arial"/>
          <w:b/>
          <w:bCs/>
          <w:color w:val="1A1A2E"/>
          <w:sz w:val="24"/>
          <w:szCs w:val="24"/>
        </w:rPr>
        <w:t>5. ПРОЕКЦІЯ ВИМІРІВ ТА ВИНИКНЕННЯ КВАНТОВОЇ СТАТИСТИКИ</w:t>
      </w:r>
    </w:p>
    <w:p w14:paraId="4C50E25B">
      <w:pPr>
        <w:spacing w:before="240" w:after="80"/>
      </w:pPr>
      <w:r>
        <w:rPr>
          <w:rFonts w:ascii="Arial" w:hAnsi="Arial" w:eastAsia="Arial" w:cs="Arial"/>
          <w:b/>
          <w:bCs/>
          <w:i/>
          <w:iCs/>
          <w:color w:val="2C3A6B"/>
          <w:sz w:val="24"/>
          <w:szCs w:val="24"/>
        </w:rPr>
        <w:t>5.1 Гіпотеза проекції</w:t>
      </w:r>
    </w:p>
    <w:p w14:paraId="77DA20E5">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Центральне твердження цього розділу полягає в тому, що квантовомеханічна статистика, яка спостерігається у 3+1-вимірному зрізі Σ, може виникати як статистичний опис класичної детерміністичної динаміки у вищовимірному об'ємі ℳ, коли ця динаміка проектується на Σ спостерігачем, що не має доступу до додаткових вимірів y^i.</w:t>
      </w:r>
    </w:p>
    <w:p w14:paraId="717BE608">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Ця ідея не є принципово новою. Відповідність AdS/CFT [30] встановлює точну дуальність між квантовою гравітацією у (n+1)-вимірному просторі Анти-де Ситтера та конформною квантовою теорією поля у n вимірах: нижньовимірна теорія виглядає квантовомеханічною та статистичною, тоді як вищовимірна теорія є гравітаційною та класичнішою. Голографічний принцип [31,32] узагальнює це: максимальний інформаційний вміст будь-якого просторового об'єму пропорційний площі його межі, а не об'єму, що вказує на те, що повна N-вимірна динаміка закодована на нижньовимірній поверхні.</w:t>
      </w:r>
    </w:p>
    <w:p w14:paraId="4CF466D6">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Те, що ККВПРВ додає, — це конкретна фізична реалізація цієї проекції у космологічному контексті: 3D-спостерігач живе всередині однієї елементарної комірки космологічного кристалу, і те, що він інтерпретує як квантові флуктуації, є тепловими фононами ґратки, що поширюються крізь стінки елементарної комірки.</w:t>
      </w:r>
    </w:p>
    <w:p w14:paraId="4F0C64B6">
      <w:pPr>
        <w:spacing w:before="240" w:after="80"/>
      </w:pPr>
      <w:r>
        <w:rPr>
          <w:rFonts w:ascii="Arial" w:hAnsi="Arial" w:eastAsia="Arial" w:cs="Arial"/>
          <w:b/>
          <w:bCs/>
          <w:i/>
          <w:iCs/>
          <w:color w:val="2C3A6B"/>
          <w:sz w:val="24"/>
          <w:szCs w:val="24"/>
        </w:rPr>
        <w:t>5.2 Правило Борна як піфагорова проекція</w:t>
      </w:r>
    </w:p>
    <w:p w14:paraId="39703539">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Розглянемо класичний вектор стану Ψ у N-вимірному фазовому просторі. Після проекції на тривимірний підпростір, доступний для спостереження, проектований стан ψ = P_3 Ψ задовольняє:</w:t>
      </w:r>
    </w:p>
    <w:p w14:paraId="3A1D1D59">
      <w:pPr>
        <w:spacing w:before="120" w:after="120"/>
        <w:jc w:val="center"/>
      </w:pPr>
      <w:r>
        <w:rPr>
          <w:rFonts w:ascii="Courier New" w:hAnsi="Courier New" w:eastAsia="Courier New" w:cs="Courier New"/>
          <w:color w:val="1A1A2E"/>
          <w:sz w:val="22"/>
          <w:szCs w:val="22"/>
        </w:rPr>
        <w:t>|ψ|^2 = |Ψ|^2 cos^2θ</w:t>
      </w:r>
      <w:r>
        <w:rPr>
          <w:rFonts w:ascii="Times New Roman" w:hAnsi="Times New Roman" w:eastAsia="Times New Roman" w:cs="Times New Roman"/>
          <w:color w:val="4A5568"/>
          <w:sz w:val="22"/>
          <w:szCs w:val="22"/>
        </w:rPr>
        <w:t xml:space="preserve">   (11)</w:t>
      </w:r>
    </w:p>
    <w:p w14:paraId="29CE4327">
      <w:pPr>
        <w:spacing w:before="0" w:after="160" w:line="276" w:lineRule="auto"/>
        <w:jc w:val="both"/>
      </w:pPr>
      <w:r>
        <w:rPr>
          <w:rFonts w:ascii="Times New Roman" w:hAnsi="Times New Roman" w:eastAsia="Times New Roman" w:cs="Times New Roman"/>
          <w:b w:val="0"/>
          <w:bCs w:val="0"/>
          <w:i w:val="0"/>
          <w:iCs w:val="0"/>
          <w:color w:val="000000"/>
          <w:sz w:val="24"/>
          <w:szCs w:val="24"/>
        </w:rPr>
        <w:t>де θ — кут між Ψ та гіперплощиною проекції. Для ансамблю класичних станів, рівномірно розподілених на N-вимірній одиничній сфері, проектована амплітуда |cos^2θ| підпорядковується розподілу, який у границі великих N збігається з правилом Борна |P|^2 для квантових імовірностей.</w:t>
      </w:r>
    </w:p>
    <w:p w14:paraId="44C3BA43">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Це теорема Піфагора, застосована до проекції: квадрат модуля проектованого вектора дає частку довжини початкового вектора, видиму у нижньовимірному підпросторі. Правило Борна в цій картині — не постулат, а геометричний наслідок проекції класичних станів з простору великої розмірності на тривимірну поверхню спостереження.</w:t>
      </w:r>
    </w:p>
    <w:p w14:paraId="52050733">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Принцип невизначеності виникає аналогічно. Спряжені змінні (q, p) у 3D є проекціями координат фазового простору (Q, P) у ND. Комутаційне співвідношення [q, p] = iħ виникає з некомутативності операторів проекції на неортогональні підпростори. Стала Планка ħ є у цій картині мірою незворотної інформації, що втрачається при проекції — еквівалентно, тепловою енергією на моду вакууму, яку не можна вилучити, оскільки підлога де Ситтера H∞ &gt; 0 перешкоджає повному охолодженню.</w:t>
      </w:r>
    </w:p>
    <w:p w14:paraId="3FC2FCDF">
      <w:pPr>
        <w:spacing w:before="240" w:after="80"/>
      </w:pPr>
      <w:r>
        <w:rPr>
          <w:rFonts w:ascii="Arial" w:hAnsi="Arial" w:eastAsia="Arial" w:cs="Arial"/>
          <w:b/>
          <w:bCs/>
          <w:i/>
          <w:iCs/>
          <w:color w:val="2C3A6B"/>
          <w:sz w:val="24"/>
          <w:szCs w:val="24"/>
        </w:rPr>
        <w:t>5.3 Фонони та віртуальні частинки</w:t>
      </w:r>
    </w:p>
    <w:p w14:paraId="75F63E21">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У кристалографічній картині нульові флуктуації квантового вакууму відповідають нульовим коливанням кристалічної ґратки — основному стану фонона. Віртуальні пари частинок у КТП відповідають віртуальним фононним парам у ґратковому описі: перехідним збудженням акустичних мод, що не поширюються до спостерігача, але опосередковують взаємодії між реальними збудженнями (частинками).</w:t>
      </w:r>
    </w:p>
    <w:p w14:paraId="70DA3DC9">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Ефект Казіміра — вимірювана сила притягання між паралельними провідними пластинами у вакуумі [18] — є у цій картині акустичним аналогом сили між двома жорсткими включеннями у кристалі, що виникає внаслідок зміни густини станів фонона між пластинами. Сила Казіміра виміряна з точністю до частки відсотка [33] і є прямим вимірюванням нульової фононної енергії космологічної ґратки.</w:t>
      </w:r>
    </w:p>
    <w:p w14:paraId="43CCC5E4">
      <w:pPr>
        <w:spacing w:before="360" w:after="120"/>
      </w:pPr>
      <w:r>
        <w:rPr>
          <w:rFonts w:ascii="Arial" w:hAnsi="Arial" w:eastAsia="Arial" w:cs="Arial"/>
          <w:b/>
          <w:bCs/>
          <w:color w:val="1A1A2E"/>
          <w:sz w:val="24"/>
          <w:szCs w:val="24"/>
        </w:rPr>
        <w:t>6. СПОСТЕРЕЖНІ ПЕРЕДБАЧЕННЯ</w:t>
      </w:r>
    </w:p>
    <w:p w14:paraId="481CC58B">
      <w:pPr>
        <w:spacing w:before="240" w:after="80"/>
      </w:pPr>
      <w:r>
        <w:rPr>
          <w:rFonts w:ascii="Arial" w:hAnsi="Arial" w:eastAsia="Arial" w:cs="Arial"/>
          <w:b/>
          <w:bCs/>
          <w:i/>
          <w:iCs/>
          <w:color w:val="2C3A6B"/>
          <w:sz w:val="24"/>
          <w:szCs w:val="24"/>
        </w:rPr>
        <w:t>6.1 Зсув ефективного масштабу BAO через МБВ</w:t>
      </w:r>
    </w:p>
    <w:p w14:paraId="48A5D8EF">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Біг вакуумної енергії МБВ спричиняє зсув горизонту звуку в момент рекомбінації відносно стандартного передбачення ΛCDM. З рівняння неперервності МБВ та модифікованих рівнянь Фрідмана [12], відносний зсув r* становить:</w:t>
      </w:r>
    </w:p>
    <w:p w14:paraId="1DAC9A7C">
      <w:pPr>
        <w:spacing w:before="120" w:after="120"/>
        <w:jc w:val="center"/>
      </w:pPr>
      <w:r>
        <w:rPr>
          <w:rFonts w:ascii="Courier New" w:hAnsi="Courier New" w:eastAsia="Courier New" w:cs="Courier New"/>
          <w:color w:val="1A1A2E"/>
          <w:sz w:val="22"/>
          <w:szCs w:val="22"/>
        </w:rPr>
        <w:t>δr* / r* ≈ ν/2 ≈ 5 × 10^{-4}</w:t>
      </w:r>
      <w:r>
        <w:rPr>
          <w:rFonts w:ascii="Times New Roman" w:hAnsi="Times New Roman" w:eastAsia="Times New Roman" w:cs="Times New Roman"/>
          <w:color w:val="4A5568"/>
          <w:sz w:val="22"/>
          <w:szCs w:val="22"/>
        </w:rPr>
        <w:t xml:space="preserve">   (12)</w:t>
      </w:r>
    </w:p>
    <w:p w14:paraId="616F87CF">
      <w:pPr>
        <w:spacing w:before="0" w:after="160" w:line="276" w:lineRule="auto"/>
        <w:jc w:val="both"/>
      </w:pPr>
      <w:r>
        <w:rPr>
          <w:rFonts w:ascii="Times New Roman" w:hAnsi="Times New Roman" w:eastAsia="Times New Roman" w:cs="Times New Roman"/>
          <w:b w:val="0"/>
          <w:bCs w:val="0"/>
          <w:i w:val="0"/>
          <w:iCs w:val="0"/>
          <w:color w:val="000000"/>
          <w:sz w:val="24"/>
          <w:szCs w:val="24"/>
        </w:rPr>
        <w:t>Цей зсув залежить від червоного зміщення: оскільки вакуумна енергія МБВ еволюціонує разом з H(z), ефективний масштаб BAO, виміряний при різних червоних зміщеннях, має демонструвати систематичну тенденцію на рівні δr*/r* ~ ν/2. Для ν ~ 10⁻³, як вказує DESI DR2 [8], це ефект 0,05% — нижче поточної точності вимірювань (σ(r*)/r* ~ 0,2% у DESI DR2), але в межах досяжності DESI DR3/DR4 з σ(r*)/r* ~ 0,1%.</w:t>
      </w:r>
    </w:p>
    <w:p w14:paraId="1E7997B4">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Передбачення П1: ефективний масштаб BAO r*(z) має монотонно зменшуватись зі зменшенням червоного зміщення зі швидкістю:</w:t>
      </w:r>
    </w:p>
    <w:p w14:paraId="1B1396FF">
      <w:pPr>
        <w:spacing w:before="120" w:after="120"/>
        <w:jc w:val="center"/>
      </w:pPr>
      <w:r>
        <w:rPr>
          <w:rFonts w:ascii="Courier New" w:hAnsi="Courier New" w:eastAsia="Courier New" w:cs="Courier New"/>
          <w:color w:val="1A1A2E"/>
          <w:sz w:val="22"/>
          <w:szCs w:val="22"/>
        </w:rPr>
        <w:t>dr*/dz ≈ (ν/2) r* × d ln H(z)/dz</w:t>
      </w:r>
      <w:r>
        <w:rPr>
          <w:rFonts w:ascii="Times New Roman" w:hAnsi="Times New Roman" w:eastAsia="Times New Roman" w:cs="Times New Roman"/>
          <w:color w:val="4A5568"/>
          <w:sz w:val="22"/>
          <w:szCs w:val="22"/>
        </w:rPr>
        <w:t xml:space="preserve">   (13)</w:t>
      </w:r>
    </w:p>
    <w:p w14:paraId="703B77CF">
      <w:pPr>
        <w:spacing w:before="0" w:after="160" w:line="276" w:lineRule="auto"/>
        <w:jc w:val="both"/>
      </w:pPr>
      <w:r>
        <w:rPr>
          <w:rFonts w:ascii="Times New Roman" w:hAnsi="Times New Roman" w:eastAsia="Times New Roman" w:cs="Times New Roman"/>
          <w:b w:val="0"/>
          <w:bCs w:val="0"/>
          <w:i w:val="0"/>
          <w:iCs w:val="0"/>
          <w:color w:val="000000"/>
          <w:sz w:val="24"/>
          <w:szCs w:val="24"/>
        </w:rPr>
        <w:t>Це унікальне передбачення ККВПРВ-МБВ, що відрізняє її від чистого ΛCDM (де r* стала) та загальних моделей динамічної темної енергії (які не передбачають конкретної ν-параметризації).</w:t>
      </w:r>
    </w:p>
    <w:p w14:paraId="5903A087">
      <w:pPr>
        <w:spacing w:before="240" w:after="80"/>
      </w:pPr>
      <w:r>
        <w:rPr>
          <w:rFonts w:ascii="Arial" w:hAnsi="Arial" w:eastAsia="Arial" w:cs="Arial"/>
          <w:b/>
          <w:bCs/>
          <w:i/>
          <w:iCs/>
          <w:color w:val="2C3A6B"/>
          <w:sz w:val="24"/>
          <w:szCs w:val="24"/>
        </w:rPr>
        <w:t>6.2 Негаусовість від топології меж зерен</w:t>
      </w:r>
    </w:p>
    <w:p w14:paraId="5DE6547D">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Межі кристалічних зерен утворюють характерні сигнатури у полі густини: розриви градієнта ρ(x), надлишок кластеризації на масштабі межі та дефіцит кластеризації всередині зерен (войдів). Це переводиться у негаусові особливості спектра потужності матерії на масштабах k ~ π/r_grain, де r_grain — характерний розмір войда.</w:t>
      </w:r>
    </w:p>
    <w:p w14:paraId="14009EBB">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Передбачення П2: редукований бі спектр B(k1, k2, k3) поля густини матерії має демонструвати надлишок у конфігураціях, що задовольняють теоремі косинусів k3² = k1² + k2² - 2k1k2 cosθ при θ ≈ 60° — куті, характерному для гексагональної щільної топології меж зерен. Амплітуда цього надлишку передбачається рівною f_NL^grain ~ (r*/r_grain)² × 10⁻², що потрапляє у діапазон, доступний для вимірювань бі спектра слабкого лінзування Euclid [34] для типових розмірів войдів r_grain ~ 30–50 Мпк.</w:t>
      </w:r>
    </w:p>
    <w:p w14:paraId="60D07CD5">
      <w:pPr>
        <w:spacing w:before="240" w:after="80"/>
      </w:pPr>
      <w:r>
        <w:rPr>
          <w:rFonts w:ascii="Arial" w:hAnsi="Arial" w:eastAsia="Arial" w:cs="Arial"/>
          <w:b/>
          <w:bCs/>
          <w:i/>
          <w:iCs/>
          <w:color w:val="2C3A6B"/>
          <w:sz w:val="24"/>
          <w:szCs w:val="24"/>
        </w:rPr>
        <w:t>6.3 Орієнтаційні кореляції осей філаментів</w:t>
      </w:r>
    </w:p>
    <w:p w14:paraId="364AFDA8">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Полікристалічні матеріали, утворені при направленій нуклеації, демонструють кристалографічну текстуру: переважну вирівняність орієнтацій зерен на масштабах, значно більших за розмір зерна. У ККВПРВ, якщо вищовимірні затравки нуклеації розподілені не ізотропно, а відображають геометрію вищовимірної ґратки, це спричинить орієнтаційні кореляції в осях філаментів космічної павутини.</w:t>
      </w:r>
    </w:p>
    <w:p w14:paraId="4235985A">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Передбачення П3: функція кореляції орієнтації філаментів C_fila(θ, r) = &lt;ν̂_fila(x) · ν̂_fila(x+r)&gt; має демонструвати ненульовий надлишок при відстанях r &gt; r*, що спадає повільніше, ніж функція кореляції матерії ξ(r). Зокрема, ККВПРВ передбачає C_fila ~ A exp(-r/r_texture) при r_texture &gt; r* та A ~ 10⁻²–10⁻³. Цей сигнал доступний у майбутніх спектроскопічних оглядах (DESI, Euclid, SKAO) через алгоритми виявлення філаментів, застосовані до повного 3D-розподілу галактик [35].</w:t>
      </w:r>
    </w:p>
    <w:p w14:paraId="3877D6F3">
      <w:pPr>
        <w:spacing w:before="360" w:after="120"/>
      </w:pPr>
      <w:r>
        <w:rPr>
          <w:rFonts w:ascii="Arial" w:hAnsi="Arial" w:eastAsia="Arial" w:cs="Arial"/>
          <w:b/>
          <w:bCs/>
          <w:color w:val="1A1A2E"/>
          <w:sz w:val="24"/>
          <w:szCs w:val="24"/>
        </w:rPr>
        <w:t>7. ЗВ'ЯЗОК З ІСНУЮЧИМИ ТЕОРЕТИЧНИМИ КОНЦЕПЦІЯМИ</w:t>
      </w:r>
    </w:p>
    <w:p w14:paraId="3FD891DB">
      <w:pPr>
        <w:spacing w:before="40" w:after="0"/>
      </w:pPr>
    </w:p>
    <w:p w14:paraId="6449BFA0">
      <w:pPr>
        <w:spacing w:before="0" w:after="200"/>
      </w:pPr>
      <w:r>
        <w:rPr>
          <w:rFonts w:ascii="Arial" w:hAnsi="Arial" w:eastAsia="Arial" w:cs="Arial"/>
          <w:i/>
          <w:iCs/>
          <w:color w:val="4A5568"/>
          <w:sz w:val="20"/>
          <w:szCs w:val="20"/>
        </w:rPr>
        <w:t>Таблиця 1. Відповідність між ККВПРВ та існуючими теоретичними програмами.</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600"/>
        <w:gridCol w:w="2560"/>
        <w:gridCol w:w="2500"/>
      </w:tblGrid>
      <w:tr w14:paraId="0A9FC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2C3A6B" w:sz="4" w:space="0"/>
              <w:left w:val="single" w:color="CCCCCC" w:sz="0" w:space="0"/>
              <w:bottom w:val="single" w:color="2C3A6B" w:sz="4" w:space="0"/>
              <w:right w:val="single" w:color="CCCCCC" w:sz="0" w:space="0"/>
            </w:tcBorders>
            <w:shd w:val="clear" w:color="auto" w:fill="D6E4F0"/>
            <w:tcMar>
              <w:top w:w="60" w:type="dxa"/>
              <w:left w:w="100" w:type="dxa"/>
              <w:bottom w:w="60" w:type="dxa"/>
              <w:right w:w="100" w:type="dxa"/>
            </w:tcMar>
          </w:tcPr>
          <w:p w14:paraId="69952643">
            <w:pPr>
              <w:jc w:val="left"/>
            </w:pPr>
            <w:r>
              <w:rPr>
                <w:rFonts w:ascii="Arial" w:hAnsi="Arial" w:eastAsia="Arial" w:cs="Arial"/>
                <w:b/>
                <w:bCs/>
                <w:color w:val="1A1A2E"/>
                <w:sz w:val="18"/>
                <w:szCs w:val="18"/>
              </w:rPr>
              <w:t>Масштаб</w:t>
            </w:r>
          </w:p>
        </w:tc>
        <w:tc>
          <w:tcPr>
            <w:tcW w:w="2600" w:type="dxa"/>
            <w:tcBorders>
              <w:top w:val="single" w:color="2C3A6B" w:sz="4" w:space="0"/>
              <w:left w:val="single" w:color="CCCCCC" w:sz="0" w:space="0"/>
              <w:bottom w:val="single" w:color="2C3A6B" w:sz="4" w:space="0"/>
              <w:right w:val="single" w:color="CCCCCC" w:sz="0" w:space="0"/>
            </w:tcBorders>
            <w:shd w:val="clear" w:color="auto" w:fill="D6E4F0"/>
            <w:tcMar>
              <w:top w:w="60" w:type="dxa"/>
              <w:left w:w="100" w:type="dxa"/>
              <w:bottom w:w="60" w:type="dxa"/>
              <w:right w:w="100" w:type="dxa"/>
            </w:tcMar>
          </w:tcPr>
          <w:p w14:paraId="4C837A25">
            <w:pPr>
              <w:jc w:val="left"/>
            </w:pPr>
            <w:r>
              <w:rPr>
                <w:rFonts w:ascii="Arial" w:hAnsi="Arial" w:eastAsia="Arial" w:cs="Arial"/>
                <w:b/>
                <w:bCs/>
                <w:color w:val="1A1A2E"/>
                <w:sz w:val="18"/>
                <w:szCs w:val="18"/>
              </w:rPr>
              <w:t>Фізичне явище</w:t>
            </w:r>
          </w:p>
        </w:tc>
        <w:tc>
          <w:tcPr>
            <w:tcW w:w="2560" w:type="dxa"/>
            <w:tcBorders>
              <w:top w:val="single" w:color="2C3A6B" w:sz="4" w:space="0"/>
              <w:left w:val="single" w:color="CCCCCC" w:sz="0" w:space="0"/>
              <w:bottom w:val="single" w:color="2C3A6B" w:sz="4" w:space="0"/>
              <w:right w:val="single" w:color="CCCCCC" w:sz="0" w:space="0"/>
            </w:tcBorders>
            <w:shd w:val="clear" w:color="auto" w:fill="D6E4F0"/>
            <w:tcMar>
              <w:top w:w="60" w:type="dxa"/>
              <w:left w:w="100" w:type="dxa"/>
              <w:bottom w:w="60" w:type="dxa"/>
              <w:right w:w="100" w:type="dxa"/>
            </w:tcMar>
          </w:tcPr>
          <w:p w14:paraId="7C4FA7C3">
            <w:pPr>
              <w:jc w:val="left"/>
            </w:pPr>
            <w:r>
              <w:rPr>
                <w:rFonts w:ascii="Arial" w:hAnsi="Arial" w:eastAsia="Arial" w:cs="Arial"/>
                <w:b/>
                <w:bCs/>
                <w:color w:val="1A1A2E"/>
                <w:sz w:val="18"/>
                <w:szCs w:val="18"/>
              </w:rPr>
              <w:t>Кристалографічний аналог</w:t>
            </w:r>
          </w:p>
        </w:tc>
        <w:tc>
          <w:tcPr>
            <w:tcW w:w="2500" w:type="dxa"/>
            <w:tcBorders>
              <w:top w:val="single" w:color="2C3A6B" w:sz="4" w:space="0"/>
              <w:left w:val="single" w:color="CCCCCC" w:sz="0" w:space="0"/>
              <w:bottom w:val="single" w:color="2C3A6B" w:sz="4" w:space="0"/>
              <w:right w:val="single" w:color="CCCCCC" w:sz="0" w:space="0"/>
            </w:tcBorders>
            <w:shd w:val="clear" w:color="auto" w:fill="D6E4F0"/>
            <w:tcMar>
              <w:top w:w="60" w:type="dxa"/>
              <w:left w:w="100" w:type="dxa"/>
              <w:bottom w:w="60" w:type="dxa"/>
              <w:right w:w="100" w:type="dxa"/>
            </w:tcMar>
          </w:tcPr>
          <w:p w14:paraId="66E3B14E">
            <w:pPr>
              <w:jc w:val="left"/>
            </w:pPr>
            <w:r>
              <w:rPr>
                <w:rFonts w:ascii="Arial" w:hAnsi="Arial" w:eastAsia="Arial" w:cs="Arial"/>
                <w:b/>
                <w:bCs/>
                <w:color w:val="1A1A2E"/>
                <w:sz w:val="18"/>
                <w:szCs w:val="18"/>
              </w:rPr>
              <w:t>Ключове джерело</w:t>
            </w:r>
          </w:p>
        </w:tc>
      </w:tr>
      <w:tr w14:paraId="10B07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E44E0BA">
            <w:pPr>
              <w:jc w:val="left"/>
            </w:pPr>
            <w:r>
              <w:rPr>
                <w:rFonts w:ascii="Arial" w:hAnsi="Arial" w:eastAsia="Arial" w:cs="Arial"/>
                <w:b w:val="0"/>
                <w:bCs w:val="0"/>
                <w:color w:val="000000"/>
                <w:sz w:val="18"/>
                <w:szCs w:val="18"/>
              </w:rPr>
              <w:t>Планківський (10⁻³⁵ м)</w:t>
            </w:r>
          </w:p>
        </w:tc>
        <w:tc>
          <w:tcPr>
            <w:tcW w:w="2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33649C9">
            <w:pPr>
              <w:jc w:val="left"/>
            </w:pPr>
            <w:r>
              <w:rPr>
                <w:rFonts w:ascii="Arial" w:hAnsi="Arial" w:eastAsia="Arial" w:cs="Arial"/>
                <w:b w:val="0"/>
                <w:bCs w:val="0"/>
                <w:color w:val="000000"/>
                <w:sz w:val="18"/>
                <w:szCs w:val="18"/>
              </w:rPr>
              <w:t>Просторово-часова піна, флуктуації геометрії</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AB777FD">
            <w:pPr>
              <w:jc w:val="left"/>
            </w:pPr>
            <w:r>
              <w:rPr>
                <w:rFonts w:ascii="Arial" w:hAnsi="Arial" w:eastAsia="Arial" w:cs="Arial"/>
                <w:b w:val="0"/>
                <w:bCs w:val="0"/>
                <w:color w:val="000000"/>
                <w:sz w:val="18"/>
                <w:szCs w:val="18"/>
              </w:rPr>
              <w:t>Теплові коливання ґратки (фонони)</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99A6D9A">
            <w:pPr>
              <w:jc w:val="left"/>
            </w:pPr>
            <w:r>
              <w:rPr>
                <w:rFonts w:ascii="Arial" w:hAnsi="Arial" w:eastAsia="Arial" w:cs="Arial"/>
                <w:b w:val="0"/>
                <w:bCs w:val="0"/>
                <w:color w:val="000000"/>
                <w:sz w:val="18"/>
                <w:szCs w:val="18"/>
              </w:rPr>
              <w:t>Wheeler (1955) [17]</w:t>
            </w:r>
          </w:p>
        </w:tc>
      </w:tr>
      <w:tr w14:paraId="42DBD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4A6125DE">
            <w:pPr>
              <w:jc w:val="left"/>
            </w:pPr>
            <w:r>
              <w:rPr>
                <w:rFonts w:ascii="Arial" w:hAnsi="Arial" w:eastAsia="Arial" w:cs="Arial"/>
                <w:b w:val="0"/>
                <w:bCs w:val="0"/>
                <w:color w:val="000000"/>
                <w:sz w:val="18"/>
                <w:szCs w:val="18"/>
              </w:rPr>
              <w:t>Частинковий</w:t>
            </w:r>
          </w:p>
        </w:tc>
        <w:tc>
          <w:tcPr>
            <w:tcW w:w="26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65E15482">
            <w:pPr>
              <w:jc w:val="left"/>
            </w:pPr>
            <w:r>
              <w:rPr>
                <w:rFonts w:ascii="Arial" w:hAnsi="Arial" w:eastAsia="Arial" w:cs="Arial"/>
                <w:b w:val="0"/>
                <w:bCs w:val="0"/>
                <w:color w:val="000000"/>
                <w:sz w:val="18"/>
                <w:szCs w:val="18"/>
              </w:rPr>
              <w:t>Віртуальні пари частинок, нульові поля</w:t>
            </w:r>
          </w:p>
        </w:tc>
        <w:tc>
          <w:tcPr>
            <w:tcW w:w="25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25F31464">
            <w:pPr>
              <w:jc w:val="left"/>
            </w:pPr>
            <w:r>
              <w:rPr>
                <w:rFonts w:ascii="Arial" w:hAnsi="Arial" w:eastAsia="Arial" w:cs="Arial"/>
                <w:b w:val="0"/>
                <w:bCs w:val="0"/>
                <w:color w:val="000000"/>
                <w:sz w:val="18"/>
                <w:szCs w:val="18"/>
              </w:rPr>
              <w:t>Акустичні фононні моди</w:t>
            </w:r>
          </w:p>
        </w:tc>
        <w:tc>
          <w:tcPr>
            <w:tcW w:w="25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23C6D66E">
            <w:pPr>
              <w:jc w:val="left"/>
            </w:pPr>
            <w:r>
              <w:rPr>
                <w:rFonts w:ascii="Arial" w:hAnsi="Arial" w:eastAsia="Arial" w:cs="Arial"/>
                <w:b w:val="0"/>
                <w:bCs w:val="0"/>
                <w:color w:val="000000"/>
                <w:sz w:val="18"/>
                <w:szCs w:val="18"/>
              </w:rPr>
              <w:t>Casimir (1948) [18]</w:t>
            </w:r>
          </w:p>
        </w:tc>
      </w:tr>
      <w:tr w14:paraId="496A3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65637C9">
            <w:pPr>
              <w:jc w:val="left"/>
            </w:pPr>
            <w:r>
              <w:rPr>
                <w:rFonts w:ascii="Arial" w:hAnsi="Arial" w:eastAsia="Arial" w:cs="Arial"/>
                <w:b w:val="0"/>
                <w:bCs w:val="0"/>
                <w:color w:val="000000"/>
                <w:sz w:val="18"/>
                <w:szCs w:val="18"/>
              </w:rPr>
              <w:t>Атомний</w:t>
            </w:r>
          </w:p>
        </w:tc>
        <w:tc>
          <w:tcPr>
            <w:tcW w:w="2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AEDFC4C">
            <w:pPr>
              <w:jc w:val="left"/>
            </w:pPr>
            <w:r>
              <w:rPr>
                <w:rFonts w:ascii="Arial" w:hAnsi="Arial" w:eastAsia="Arial" w:cs="Arial"/>
                <w:b w:val="0"/>
                <w:bCs w:val="0"/>
                <w:color w:val="000000"/>
                <w:sz w:val="18"/>
                <w:szCs w:val="18"/>
              </w:rPr>
              <w:t>Атомні/молекулярні зв'язки</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F4C1651">
            <w:pPr>
              <w:jc w:val="left"/>
            </w:pPr>
            <w:r>
              <w:rPr>
                <w:rFonts w:ascii="Arial" w:hAnsi="Arial" w:eastAsia="Arial" w:cs="Arial"/>
                <w:b w:val="0"/>
                <w:bCs w:val="0"/>
                <w:color w:val="000000"/>
                <w:sz w:val="18"/>
                <w:szCs w:val="18"/>
              </w:rPr>
              <w:t>Елементарна комірка, базисні атоми</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D73D0F3">
            <w:pPr>
              <w:jc w:val="left"/>
            </w:pPr>
            <w:r>
              <w:rPr>
                <w:rFonts w:ascii="Arial" w:hAnsi="Arial" w:eastAsia="Arial" w:cs="Arial"/>
                <w:b w:val="0"/>
                <w:bCs w:val="0"/>
                <w:color w:val="000000"/>
                <w:sz w:val="18"/>
                <w:szCs w:val="18"/>
              </w:rPr>
              <w:t>Стандартна КМ</w:t>
            </w:r>
          </w:p>
        </w:tc>
      </w:tr>
      <w:tr w14:paraId="3649F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442C7C4C">
            <w:pPr>
              <w:jc w:val="left"/>
            </w:pPr>
            <w:r>
              <w:rPr>
                <w:rFonts w:ascii="Arial" w:hAnsi="Arial" w:eastAsia="Arial" w:cs="Arial"/>
                <w:b w:val="0"/>
                <w:bCs w:val="0"/>
                <w:color w:val="000000"/>
                <w:sz w:val="18"/>
                <w:szCs w:val="18"/>
              </w:rPr>
              <w:t>Зоряний</w:t>
            </w:r>
          </w:p>
        </w:tc>
        <w:tc>
          <w:tcPr>
            <w:tcW w:w="26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3E50E2B2">
            <w:pPr>
              <w:jc w:val="left"/>
            </w:pPr>
            <w:r>
              <w:rPr>
                <w:rFonts w:ascii="Arial" w:hAnsi="Arial" w:eastAsia="Arial" w:cs="Arial"/>
                <w:b w:val="0"/>
                <w:bCs w:val="0"/>
                <w:color w:val="000000"/>
                <w:sz w:val="18"/>
                <w:szCs w:val="18"/>
              </w:rPr>
              <w:t>Зореутворення в молекулярних хмарах</w:t>
            </w:r>
          </w:p>
        </w:tc>
        <w:tc>
          <w:tcPr>
            <w:tcW w:w="25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5567905F">
            <w:pPr>
              <w:jc w:val="left"/>
            </w:pPr>
            <w:r>
              <w:rPr>
                <w:rFonts w:ascii="Arial" w:hAnsi="Arial" w:eastAsia="Arial" w:cs="Arial"/>
                <w:b w:val="0"/>
                <w:bCs w:val="0"/>
                <w:color w:val="000000"/>
                <w:sz w:val="18"/>
                <w:szCs w:val="18"/>
              </w:rPr>
              <w:t>Кристалічна нуклеація з розплаву</w:t>
            </w:r>
          </w:p>
        </w:tc>
        <w:tc>
          <w:tcPr>
            <w:tcW w:w="25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65858BDC">
            <w:pPr>
              <w:jc w:val="left"/>
            </w:pPr>
            <w:r>
              <w:rPr>
                <w:rFonts w:ascii="Arial" w:hAnsi="Arial" w:eastAsia="Arial" w:cs="Arial"/>
                <w:b w:val="0"/>
                <w:bCs w:val="0"/>
                <w:color w:val="000000"/>
                <w:sz w:val="18"/>
                <w:szCs w:val="18"/>
              </w:rPr>
              <w:t>McKee &amp; Ostriker (2007) [19]</w:t>
            </w:r>
          </w:p>
        </w:tc>
      </w:tr>
      <w:tr w14:paraId="5906E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0575B4C">
            <w:pPr>
              <w:jc w:val="left"/>
            </w:pPr>
            <w:r>
              <w:rPr>
                <w:rFonts w:ascii="Arial" w:hAnsi="Arial" w:eastAsia="Arial" w:cs="Arial"/>
                <w:b w:val="0"/>
                <w:bCs w:val="0"/>
                <w:color w:val="000000"/>
                <w:sz w:val="18"/>
                <w:szCs w:val="18"/>
              </w:rPr>
              <w:t>Галактичний</w:t>
            </w:r>
          </w:p>
        </w:tc>
        <w:tc>
          <w:tcPr>
            <w:tcW w:w="2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6F2F69B">
            <w:pPr>
              <w:jc w:val="left"/>
            </w:pPr>
            <w:r>
              <w:rPr>
                <w:rFonts w:ascii="Arial" w:hAnsi="Arial" w:eastAsia="Arial" w:cs="Arial"/>
                <w:b w:val="0"/>
                <w:bCs w:val="0"/>
                <w:color w:val="000000"/>
                <w:sz w:val="18"/>
                <w:szCs w:val="18"/>
              </w:rPr>
              <w:t>Формування галактик у гало ТМ</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3ACC8D4">
            <w:pPr>
              <w:jc w:val="left"/>
            </w:pPr>
            <w:r>
              <w:rPr>
                <w:rFonts w:ascii="Arial" w:hAnsi="Arial" w:eastAsia="Arial" w:cs="Arial"/>
                <w:b w:val="0"/>
                <w:bCs w:val="0"/>
                <w:color w:val="000000"/>
                <w:sz w:val="18"/>
                <w:szCs w:val="18"/>
              </w:rPr>
              <w:t>Ріст зерна від зародка</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9D2028C">
            <w:pPr>
              <w:jc w:val="left"/>
            </w:pPr>
            <w:r>
              <w:rPr>
                <w:rFonts w:ascii="Arial" w:hAnsi="Arial" w:eastAsia="Arial" w:cs="Arial"/>
                <w:b w:val="0"/>
                <w:bCs w:val="0"/>
                <w:color w:val="000000"/>
                <w:sz w:val="18"/>
                <w:szCs w:val="18"/>
              </w:rPr>
              <w:t>White &amp; Rees (1978) [20]</w:t>
            </w:r>
          </w:p>
        </w:tc>
      </w:tr>
      <w:tr w14:paraId="7D8C2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2764340B">
            <w:pPr>
              <w:jc w:val="left"/>
            </w:pPr>
            <w:r>
              <w:rPr>
                <w:rFonts w:ascii="Arial" w:hAnsi="Arial" w:eastAsia="Arial" w:cs="Arial"/>
                <w:b w:val="0"/>
                <w:bCs w:val="0"/>
                <w:color w:val="000000"/>
                <w:sz w:val="18"/>
                <w:szCs w:val="18"/>
              </w:rPr>
              <w:t>Космічна павутина</w:t>
            </w:r>
          </w:p>
        </w:tc>
        <w:tc>
          <w:tcPr>
            <w:tcW w:w="26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35DB946F">
            <w:pPr>
              <w:jc w:val="left"/>
            </w:pPr>
            <w:r>
              <w:rPr>
                <w:rFonts w:ascii="Arial" w:hAnsi="Arial" w:eastAsia="Arial" w:cs="Arial"/>
                <w:b w:val="0"/>
                <w:bCs w:val="0"/>
                <w:color w:val="000000"/>
                <w:sz w:val="18"/>
                <w:szCs w:val="18"/>
              </w:rPr>
              <w:t>Філаменти, стінки, вузлові вузли</w:t>
            </w:r>
          </w:p>
        </w:tc>
        <w:tc>
          <w:tcPr>
            <w:tcW w:w="25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123106AE">
            <w:pPr>
              <w:jc w:val="left"/>
            </w:pPr>
            <w:r>
              <w:rPr>
                <w:rFonts w:ascii="Arial" w:hAnsi="Arial" w:eastAsia="Arial" w:cs="Arial"/>
                <w:b w:val="0"/>
                <w:bCs w:val="0"/>
                <w:color w:val="000000"/>
                <w:sz w:val="18"/>
                <w:szCs w:val="18"/>
              </w:rPr>
              <w:t>Межі зерен, потрійні стики</w:t>
            </w:r>
          </w:p>
        </w:tc>
        <w:tc>
          <w:tcPr>
            <w:tcW w:w="25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72DBA424">
            <w:pPr>
              <w:jc w:val="left"/>
            </w:pPr>
            <w:r>
              <w:rPr>
                <w:rFonts w:ascii="Arial" w:hAnsi="Arial" w:eastAsia="Arial" w:cs="Arial"/>
                <w:b w:val="0"/>
                <w:bCs w:val="0"/>
                <w:color w:val="000000"/>
                <w:sz w:val="18"/>
                <w:szCs w:val="18"/>
              </w:rPr>
              <w:t>Bond et al. (1996) [21]</w:t>
            </w:r>
          </w:p>
        </w:tc>
      </w:tr>
      <w:tr w14:paraId="5A8FF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7F659AD">
            <w:pPr>
              <w:jc w:val="left"/>
            </w:pPr>
            <w:r>
              <w:rPr>
                <w:rFonts w:ascii="Arial" w:hAnsi="Arial" w:eastAsia="Arial" w:cs="Arial"/>
                <w:b w:val="0"/>
                <w:bCs w:val="0"/>
                <w:color w:val="000000"/>
                <w:sz w:val="18"/>
                <w:szCs w:val="18"/>
              </w:rPr>
              <w:t>Масштаб BAO (~147 Мпк)</w:t>
            </w:r>
          </w:p>
        </w:tc>
        <w:tc>
          <w:tcPr>
            <w:tcW w:w="2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4400C43">
            <w:pPr>
              <w:jc w:val="left"/>
            </w:pPr>
            <w:r>
              <w:rPr>
                <w:rFonts w:ascii="Arial" w:hAnsi="Arial" w:eastAsia="Arial" w:cs="Arial"/>
                <w:b w:val="0"/>
                <w:bCs w:val="0"/>
                <w:color w:val="000000"/>
                <w:sz w:val="18"/>
                <w:szCs w:val="18"/>
              </w:rPr>
              <w:t>Пік баріонних акустичних осциляцій</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93B9CC9">
            <w:pPr>
              <w:jc w:val="left"/>
            </w:pPr>
            <w:r>
              <w:rPr>
                <w:rFonts w:ascii="Arial" w:hAnsi="Arial" w:eastAsia="Arial" w:cs="Arial"/>
                <w:b w:val="0"/>
                <w:bCs w:val="0"/>
                <w:color w:val="000000"/>
                <w:sz w:val="18"/>
                <w:szCs w:val="18"/>
              </w:rPr>
              <w:t>Стала ґратки (відстань Бреґґа)</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29B14DD">
            <w:pPr>
              <w:jc w:val="left"/>
            </w:pPr>
            <w:r>
              <w:rPr>
                <w:rFonts w:ascii="Arial" w:hAnsi="Arial" w:eastAsia="Arial" w:cs="Arial"/>
                <w:b w:val="0"/>
                <w:bCs w:val="0"/>
                <w:color w:val="000000"/>
                <w:sz w:val="18"/>
                <w:szCs w:val="18"/>
              </w:rPr>
              <w:t>Eisenstein et al. (2005) [7]</w:t>
            </w:r>
          </w:p>
        </w:tc>
      </w:tr>
      <w:tr w14:paraId="03B01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1737D4A8">
            <w:pPr>
              <w:jc w:val="left"/>
            </w:pPr>
            <w:r>
              <w:rPr>
                <w:rFonts w:ascii="Arial" w:hAnsi="Arial" w:eastAsia="Arial" w:cs="Arial"/>
                <w:b w:val="0"/>
                <w:bCs w:val="0"/>
                <w:color w:val="000000"/>
                <w:sz w:val="18"/>
                <w:szCs w:val="18"/>
              </w:rPr>
              <w:t>Вищі виміри</w:t>
            </w:r>
          </w:p>
        </w:tc>
        <w:tc>
          <w:tcPr>
            <w:tcW w:w="26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3CC68CB0">
            <w:pPr>
              <w:jc w:val="left"/>
            </w:pPr>
            <w:r>
              <w:rPr>
                <w:rFonts w:ascii="Arial" w:hAnsi="Arial" w:eastAsia="Arial" w:cs="Arial"/>
                <w:b w:val="0"/>
                <w:bCs w:val="0"/>
                <w:color w:val="000000"/>
                <w:sz w:val="18"/>
                <w:szCs w:val="18"/>
              </w:rPr>
              <w:t>Перетини браней/дефектів із 3D зрізом</w:t>
            </w:r>
          </w:p>
        </w:tc>
        <w:tc>
          <w:tcPr>
            <w:tcW w:w="25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4F8D3848">
            <w:pPr>
              <w:jc w:val="left"/>
            </w:pPr>
            <w:r>
              <w:rPr>
                <w:rFonts w:ascii="Arial" w:hAnsi="Arial" w:eastAsia="Arial" w:cs="Arial"/>
                <w:b w:val="0"/>
                <w:bCs w:val="0"/>
                <w:color w:val="000000"/>
                <w:sz w:val="18"/>
                <w:szCs w:val="18"/>
              </w:rPr>
              <w:t>Затравочні дислокації, що ініціюють зерна</w:t>
            </w:r>
          </w:p>
        </w:tc>
        <w:tc>
          <w:tcPr>
            <w:tcW w:w="25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2BE2AFC2">
            <w:pPr>
              <w:jc w:val="left"/>
            </w:pPr>
            <w:r>
              <w:rPr>
                <w:rFonts w:ascii="Arial" w:hAnsi="Arial" w:eastAsia="Arial" w:cs="Arial"/>
                <w:b w:val="0"/>
                <w:bCs w:val="0"/>
                <w:color w:val="000000"/>
                <w:sz w:val="18"/>
                <w:szCs w:val="18"/>
              </w:rPr>
              <w:t>Dvali et al. (2000) [22]</w:t>
            </w:r>
          </w:p>
        </w:tc>
      </w:tr>
    </w:tbl>
    <w:p w14:paraId="0D30F93F">
      <w:pPr>
        <w:spacing w:before="60" w:after="200"/>
        <w:jc w:val="center"/>
      </w:pPr>
      <w:r>
        <w:rPr>
          <w:rFonts w:ascii="Arial" w:hAnsi="Arial" w:eastAsia="Arial" w:cs="Arial"/>
          <w:i/>
          <w:iCs/>
          <w:color w:val="4A5568"/>
          <w:sz w:val="20"/>
          <w:szCs w:val="20"/>
        </w:rPr>
        <w:t>Таблиця 1. Відображення тверджень ККВПРВ на існуючі теоретичні концепції. ККВПРВ не вимагає жодної з цих концепцій окремо, але узгоджується з усіма ними та запозичує формальні елементи з кожної.</w:t>
      </w:r>
    </w:p>
    <w:p w14:paraId="1AF7B23D">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Голографічна відповідність [30–32] є найближчим попередником механізму проекції вимірів, описаного у Розділі 5. Проте існуючі голографічні моделі розміщують спостерігача на межі вищовимірного простору, тоді як ККВПРВ розміщує спостерігача всередині об'єму, в одній елементарній комірці проектованої ґратки. Ця різниця має спостережні наслідки: граничні спостерігачі бачать повний голографічний екран, тоді як об'ємні спостерігачі (у ККВПРВ) бачать лише статистику фонона локальної елементарної комірки, яка виглядає квантовомеханічною.</w:t>
      </w:r>
    </w:p>
    <w:p w14:paraId="359F6359">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Космологія браней [29,36] забезпечує геометричну структуру для вкладення з Розділу 4. Модель Рандалла-Сандрума II [29] є особливо доречною: одна брань із нескінченним додатковим виміром, деформованим об'ємною космологічною сталою, відтворює 4D ньютонівську гравітацію при низьких енергіях. ККВПРВ потребує перетинів браней або об'ємних дефектів як затравок нуклеації — розширення, що є природним у контексті екпіротичних та циклічних космологічних моделей [37].</w:t>
      </w:r>
    </w:p>
    <w:p w14:paraId="78CF3FB3">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Причинні динамічні тріангуляції (CDT) [38] та петлева квантова гравітація (ПКГ) [39] обидві намагаються побудувати просторово-часовий континуум з дискретних фундаментальних одиниць, колективна поведінка яких породжує континуальну геометрію. ККВПРВ є нейтральною щодо конкретної схеми дискретизації, але узгоджується з обома: кристалічна ґратка ККВПРВ могла б бути крупномасштабним порядком тріангуляції CDT або спін-мережі ПКГ.</w:t>
      </w:r>
    </w:p>
    <w:p w14:paraId="61A0901B">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Стохастична електродинаміка (СЕД) [40] та стохастична механіка Нельсона [41] обидві виводять квантовомеханічну поведінку з класичних частинок, що рухаються під дією справжнього стохастичного вакуумного поля. ККВПРВ дає фізичне походження цьому полю: воно є тепловою фононною ванною кристалічної ґратки космологічного кристалу. Нульове поле СЕД є акустичним основним станом ґратки ККВПРВ.</w:t>
      </w:r>
    </w:p>
    <w:p w14:paraId="132E4261">
      <w:pPr>
        <w:spacing w:before="360" w:after="120"/>
      </w:pPr>
      <w:r>
        <w:rPr>
          <w:rFonts w:ascii="Arial" w:hAnsi="Arial" w:eastAsia="Arial" w:cs="Arial"/>
          <w:b/>
          <w:bCs/>
          <w:color w:val="1A1A2E"/>
          <w:sz w:val="24"/>
          <w:szCs w:val="24"/>
        </w:rPr>
        <w:t>8. ОБМЕЖЕННЯ ТА ВІДКРИТІ ПРОБЛЕМИ</w:t>
      </w:r>
    </w:p>
    <w:p w14:paraId="63401B9B">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ККВПРВ у поданому вигляді є структурною концепцією, а не повноцінною кількісною теорією. Для того щоб вважатися повністю розробленою теоретичною програмою, необхідно вирішити кілька відкритих проблем.</w:t>
      </w:r>
    </w:p>
    <w:p w14:paraId="6241D241">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8.1 Визначення розмірності. Концепція потребує конкретної розмірності N об'ємного простору. Теорія струн дає N = 10 або N = 11; M-теорія дає N = 11. ККВПРВ не передбачає значення N і наразі узгоджується з будь-яким N &gt; 4. Потрібен механізм, що динамічно вибирає N, — або набір спостережних обмежень, які б це обмежили.</w:t>
      </w:r>
    </w:p>
    <w:p w14:paraId="59E08EA2">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8.2 Механізм проекції. Конкретний механізм, за допомогою якого N-вимірна динаміка об'єму проектується на 3+1-вимірну брань, має бути визначений. У концепції Рандалла-Сандрума це деформаційний фактор; у CDT — причинна структура тріангуляції. ККВПРВ потребує, але не постачає цей механізм.</w:t>
      </w:r>
    </w:p>
    <w:p w14:paraId="1D291874">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8.3 Вибір розмірності. Чому проектований зріз є 3+1-вимірним? Антропний аргумент — що стабільні атоми та замкнені планетарні орбіти потребують рівно 3 просторових вимірів [42] — узгоджується з ККВПРВ, але не виводить 3+1 з перших принципів. Необхідний механізм динамічного атрактора, що вибирає 3+1D як стабільну низькоенергетичну фазу кристалізації.</w:t>
      </w:r>
    </w:p>
    <w:p w14:paraId="70137BAA">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8.4 Виведення правила Борна. Розділ 5.2 окреслює виведення правила Борна з геометричної проекції. Строгий доказ з явним контролем границі великих N та демонстрацією того, що отримана статистика точно збігається зі стандартною квантовою механікою (включаючи всі інтерференційні ефекти), є необхідним, перш ніж це твердження можна трактувати як щось більше, ніж суґестивне.</w:t>
      </w:r>
    </w:p>
    <w:p w14:paraId="61D93B49">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8.5 Біг МБВ у вищих вимірах. Рівняння МБВ (3) сформульоване у 4D. Його розширення на N вимірів змінить форму доданків бігу: член H² стає H^{N-2}, а член H⁴ стає H^N. Редукція вимірів потім проектує їх назад на спостережуваний 4D-біг. Чи відтворює ця проекція природно спостережуване ν ~ 10⁻³ — або ж необхідне точне підлаштування — є відкритим обчисленням.</w:t>
      </w:r>
    </w:p>
    <w:p w14:paraId="496E752A">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8.6 Проблема космологічної сталої. ККВПРВ успадковує, а не вирішує проблему космологічної сталої. Підлога C₀ МБВ є залишковою вакуумною енергією після величезних скорочень розбіжностей КТП; ККВПРВ не пояснює, чому ці скорочення настільки точні. Концепція переформулює питання — від «чому Λ мала?» до «чому вакуум охолонув так близько до абсолютного нуля?» — але обидва формулювання в кінцевому підсумку вимагають одного й того самого пояснення.</w:t>
      </w:r>
    </w:p>
    <w:p w14:paraId="3560B1BF">
      <w:pPr>
        <w:spacing w:before="360" w:after="120"/>
      </w:pPr>
      <w:r>
        <w:rPr>
          <w:rFonts w:ascii="Arial" w:hAnsi="Arial" w:eastAsia="Arial" w:cs="Arial"/>
          <w:b/>
          <w:bCs/>
          <w:color w:val="1A1A2E"/>
          <w:sz w:val="24"/>
          <w:szCs w:val="24"/>
        </w:rPr>
        <w:t>9. ВИСНОВКИ</w:t>
      </w:r>
    </w:p>
    <w:p w14:paraId="389F04C7">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Ми розробили кристалографічну космологію крізь призму редукції вимірів (ККВПРВ) — теоретичну концепцію, що ототожнює морфологію космічної павутини зі структурою зерен вищовимірного фазового переходу. Три формальні вимоги до росту кристалу — пересичене середовище, затравки нуклеації та бажаний масштаб взаємодії — кожна з яких реалізована в космологічній фізиці за рахунок охолодження вакууму МБВ, вищовимірних топологічних дефектів, що проектуються на спостережувану брань, та горизонту звуку BAO відповідно.</w:t>
      </w:r>
    </w:p>
    <w:p w14:paraId="77A35CC5">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Концепція формулює три класи спостережних передбачень, що відрізняють її від ΛCDM та загальних моделей динамічної темної енергії: залежний від червоного зміщення зсув ефективного масштабу BAO на рівні δr*/r* ~ ν/2 ~ 5 × 10⁻⁴; негаусові особливості в бі спектрі матерії з гексагонально-симетричною топологією на субмасштабах BAO; та орієнтаційні кореляції в осях космічних філаментів, що розтягуються за масштаб BAO. Всі три передбачення перебувають у межах досяжності сучасних спектроскопічних оглядів (DESI, Euclid, SKAO).</w:t>
      </w:r>
    </w:p>
    <w:p w14:paraId="39D07913">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Поза спостережними наслідками, ККВПРВ пропонує переосмислення квантовомеханічної статистики: не як фундаментальну аксіому природи, а як статистичний опис, доступний спостерігачам, обмеженим 3+1-вимірною брандю, класичної детерміністичної динаміки у вищовимірному об'ємі. Правило Борна виникає з геометрії проекції; принцип невизначеності — з некомутативності операторів проекції; а стала Планка — з незворотної теплової енергії вакууму на його асимптотичній підлозі де Ситтера.</w:t>
      </w:r>
    </w:p>
    <w:p w14:paraId="0EBB446C">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Ми підкреслюємо, що ККВПРВ наразі є структурною концепцією з визначеними відкритими проблемами, а не повноцінною кількісною теорією. Центральна аналогія між кристалографічним утворенням зерен та морфологією космічної павутини є, на наш погляд, не просто ілюстративною — один і той самий математичний формалізм (механізм Кіббла, теорія нуклеації, дифракція Бреґґа) керує обома системами. Чи можна зробити вищовимірний механізм нуклеації кількісно точним, і чи можна вивести механізм проекції вимірів з узгодженої програми квантової гравітації, — ці питання ми залишаємо для майбутньої роботи.</w:t>
      </w:r>
    </w:p>
    <w:p w14:paraId="7C8E7B8E">
      <w:pPr>
        <w:pBdr>
          <w:bottom w:val="single" w:color="CCCCCC" w:sz="4" w:space="1"/>
        </w:pBdr>
        <w:spacing w:before="160" w:after="160"/>
      </w:pPr>
    </w:p>
    <w:p w14:paraId="7C807FEC">
      <w:pPr>
        <w:spacing w:before="0" w:after="120"/>
      </w:pPr>
      <w:r>
        <w:rPr>
          <w:rFonts w:ascii="Arial" w:hAnsi="Arial" w:eastAsia="Arial" w:cs="Arial"/>
          <w:b/>
          <w:bCs/>
          <w:color w:val="1A1A2E"/>
          <w:sz w:val="24"/>
          <w:szCs w:val="24"/>
        </w:rPr>
        <w:t>Подяки</w:t>
      </w:r>
    </w:p>
    <w:p w14:paraId="01AB42B7">
      <w:pPr>
        <w:spacing w:before="0" w:after="160" w:line="276" w:lineRule="auto"/>
        <w:ind w:firstLine="440"/>
        <w:jc w:val="both"/>
      </w:pPr>
      <w:r>
        <w:rPr>
          <w:rFonts w:ascii="Times New Roman" w:hAnsi="Times New Roman" w:eastAsia="Times New Roman" w:cs="Times New Roman"/>
          <w:b w:val="0"/>
          <w:bCs w:val="0"/>
          <w:i/>
          <w:iCs/>
          <w:color w:val="000000"/>
          <w:sz w:val="24"/>
          <w:szCs w:val="24"/>
        </w:rPr>
        <w:t>[Подяки приховано для подвійного сліпого рецензування]</w:t>
      </w:r>
    </w:p>
    <w:p w14:paraId="00C8220C">
      <w:pPr>
        <w:pBdr>
          <w:bottom w:val="single" w:color="CCCCCC" w:sz="4" w:space="1"/>
        </w:pBdr>
        <w:spacing w:before="160" w:after="160"/>
      </w:pPr>
    </w:p>
    <w:p w14:paraId="0ECF3E9C">
      <w:pPr>
        <w:spacing w:before="0" w:after="160"/>
      </w:pPr>
      <w:r>
        <w:rPr>
          <w:rFonts w:ascii="Arial" w:hAnsi="Arial" w:eastAsia="Arial" w:cs="Arial"/>
          <w:b/>
          <w:bCs/>
          <w:color w:val="1A1A2E"/>
          <w:sz w:val="24"/>
          <w:szCs w:val="24"/>
        </w:rPr>
        <w:t>Список літератури</w:t>
      </w:r>
    </w:p>
    <w:p w14:paraId="2C54933C">
      <w:pPr>
        <w:spacing w:before="0" w:after="100"/>
        <w:ind w:left="540" w:hanging="540"/>
      </w:pPr>
      <w:r>
        <w:rPr>
          <w:rFonts w:ascii="Times New Roman" w:hAnsi="Times New Roman" w:eastAsia="Times New Roman" w:cs="Times New Roman"/>
          <w:b/>
          <w:bCs/>
          <w:color w:val="4A5568"/>
          <w:sz w:val="22"/>
          <w:szCs w:val="22"/>
        </w:rPr>
        <w:t xml:space="preserve">[1]  </w:t>
      </w:r>
      <w:r>
        <w:rPr>
          <w:rFonts w:ascii="Times New Roman" w:hAnsi="Times New Roman" w:eastAsia="Times New Roman" w:cs="Times New Roman"/>
          <w:color w:val="000000"/>
          <w:sz w:val="22"/>
          <w:szCs w:val="22"/>
        </w:rPr>
        <w:t>Peebles, P.J.E. &amp; Yu, J.T. (1970). Primeval adiabatic perturbation in an expanding universe. Astrophys. J. 162, 815.</w:t>
      </w:r>
    </w:p>
    <w:p w14:paraId="38555179">
      <w:pPr>
        <w:spacing w:before="0" w:after="100"/>
        <w:ind w:left="540" w:hanging="540"/>
      </w:pPr>
      <w:r>
        <w:rPr>
          <w:rFonts w:ascii="Times New Roman" w:hAnsi="Times New Roman" w:eastAsia="Times New Roman" w:cs="Times New Roman"/>
          <w:b/>
          <w:bCs/>
          <w:color w:val="4A5568"/>
          <w:sz w:val="22"/>
          <w:szCs w:val="22"/>
        </w:rPr>
        <w:t xml:space="preserve">[2]  </w:t>
      </w:r>
      <w:r>
        <w:rPr>
          <w:rFonts w:ascii="Times New Roman" w:hAnsi="Times New Roman" w:eastAsia="Times New Roman" w:cs="Times New Roman"/>
          <w:color w:val="000000"/>
          <w:sz w:val="22"/>
          <w:szCs w:val="22"/>
        </w:rPr>
        <w:t>Sunyaev, R.A. &amp; Zel’dovich, Ya.B. (1970). Small-scale fluctuations of relic radiation. Astrophys. Space Sci. 7, 3.</w:t>
      </w:r>
    </w:p>
    <w:p w14:paraId="1ECD52A1">
      <w:pPr>
        <w:spacing w:before="0" w:after="100"/>
        <w:ind w:left="540" w:hanging="540"/>
      </w:pPr>
      <w:r>
        <w:rPr>
          <w:rFonts w:ascii="Times New Roman" w:hAnsi="Times New Roman" w:eastAsia="Times New Roman" w:cs="Times New Roman"/>
          <w:b/>
          <w:bCs/>
          <w:color w:val="4A5568"/>
          <w:sz w:val="22"/>
          <w:szCs w:val="22"/>
        </w:rPr>
        <w:t xml:space="preserve">[3]  </w:t>
      </w:r>
      <w:r>
        <w:rPr>
          <w:rFonts w:ascii="Times New Roman" w:hAnsi="Times New Roman" w:eastAsia="Times New Roman" w:cs="Times New Roman"/>
          <w:color w:val="000000"/>
          <w:sz w:val="22"/>
          <w:szCs w:val="22"/>
        </w:rPr>
        <w:t>Eisenstein, D.J. et al. (2005). Detection of baryon acoustic oscillations in the large-scale correlation function of SDSS luminous red galaxies. Astrophys. J. 633, 560.</w:t>
      </w:r>
    </w:p>
    <w:p w14:paraId="09DC70DF">
      <w:pPr>
        <w:spacing w:before="0" w:after="100"/>
        <w:ind w:left="540" w:hanging="540"/>
      </w:pPr>
      <w:r>
        <w:rPr>
          <w:rFonts w:ascii="Times New Roman" w:hAnsi="Times New Roman" w:eastAsia="Times New Roman" w:cs="Times New Roman"/>
          <w:b/>
          <w:bCs/>
          <w:color w:val="4A5568"/>
          <w:sz w:val="22"/>
          <w:szCs w:val="22"/>
        </w:rPr>
        <w:t xml:space="preserve">[4]  </w:t>
      </w:r>
      <w:r>
        <w:rPr>
          <w:rFonts w:ascii="Times New Roman" w:hAnsi="Times New Roman" w:eastAsia="Times New Roman" w:cs="Times New Roman"/>
          <w:color w:val="000000"/>
          <w:sz w:val="22"/>
          <w:szCs w:val="22"/>
        </w:rPr>
        <w:t>Cole, S. et al. (2005). The 2dF Galaxy Redshift Survey: power-spectrum analysis of the final data set and cosmological implications. Mon. Not. R. Astron. Soc. 362, 505.</w:t>
      </w:r>
    </w:p>
    <w:p w14:paraId="3BB06189">
      <w:pPr>
        <w:spacing w:before="0" w:after="100"/>
        <w:ind w:left="540" w:hanging="540"/>
      </w:pPr>
      <w:r>
        <w:rPr>
          <w:rFonts w:ascii="Times New Roman" w:hAnsi="Times New Roman" w:eastAsia="Times New Roman" w:cs="Times New Roman"/>
          <w:b/>
          <w:bCs/>
          <w:color w:val="4A5568"/>
          <w:sz w:val="22"/>
          <w:szCs w:val="22"/>
        </w:rPr>
        <w:t xml:space="preserve">[5]  </w:t>
      </w:r>
      <w:r>
        <w:rPr>
          <w:rFonts w:ascii="Times New Roman" w:hAnsi="Times New Roman" w:eastAsia="Times New Roman" w:cs="Times New Roman"/>
          <w:color w:val="000000"/>
          <w:sz w:val="22"/>
          <w:szCs w:val="22"/>
        </w:rPr>
        <w:t>Blake, C. &amp; Glazebrook, K. (2003). Probing dark energy using baryonic oscillations in the galaxy power spectrum as a cosmological ruler. Astrophys. J. 594, 665.</w:t>
      </w:r>
    </w:p>
    <w:p w14:paraId="259ED906">
      <w:pPr>
        <w:spacing w:before="0" w:after="100"/>
        <w:ind w:left="540" w:hanging="540"/>
      </w:pPr>
      <w:r>
        <w:rPr>
          <w:rFonts w:ascii="Times New Roman" w:hAnsi="Times New Roman" w:eastAsia="Times New Roman" w:cs="Times New Roman"/>
          <w:b/>
          <w:bCs/>
          <w:color w:val="4A5568"/>
          <w:sz w:val="22"/>
          <w:szCs w:val="22"/>
        </w:rPr>
        <w:t xml:space="preserve">[6]  </w:t>
      </w:r>
      <w:r>
        <w:rPr>
          <w:rFonts w:ascii="Times New Roman" w:hAnsi="Times New Roman" w:eastAsia="Times New Roman" w:cs="Times New Roman"/>
          <w:color w:val="000000"/>
          <w:sz w:val="22"/>
          <w:szCs w:val="22"/>
        </w:rPr>
        <w:t>Seo, H.-J. &amp; Eisenstein, D.J. (2003). Probing dark energy with baryonic acoustic oscillations from future large galaxy redshift surveys. Astrophys. J. 598, 720.</w:t>
      </w:r>
    </w:p>
    <w:p w14:paraId="2E221163">
      <w:pPr>
        <w:spacing w:before="0" w:after="100"/>
        <w:ind w:left="540" w:hanging="540"/>
      </w:pPr>
      <w:r>
        <w:rPr>
          <w:rFonts w:ascii="Times New Roman" w:hAnsi="Times New Roman" w:eastAsia="Times New Roman" w:cs="Times New Roman"/>
          <w:b/>
          <w:bCs/>
          <w:color w:val="4A5568"/>
          <w:sz w:val="22"/>
          <w:szCs w:val="22"/>
        </w:rPr>
        <w:t xml:space="preserve">[7]  </w:t>
      </w:r>
      <w:r>
        <w:rPr>
          <w:rFonts w:ascii="Times New Roman" w:hAnsi="Times New Roman" w:eastAsia="Times New Roman" w:cs="Times New Roman"/>
          <w:color w:val="000000"/>
          <w:sz w:val="22"/>
          <w:szCs w:val="22"/>
        </w:rPr>
        <w:t>DESI Collaboration (2025). DESI DR2 baryon acoustic oscillations from galaxies and quasars. arXiv:2503.14738.</w:t>
      </w:r>
    </w:p>
    <w:p w14:paraId="7A20E594">
      <w:pPr>
        <w:spacing w:before="0" w:after="100"/>
        <w:ind w:left="540" w:hanging="540"/>
      </w:pPr>
      <w:r>
        <w:rPr>
          <w:rFonts w:ascii="Times New Roman" w:hAnsi="Times New Roman" w:eastAsia="Times New Roman" w:cs="Times New Roman"/>
          <w:b/>
          <w:bCs/>
          <w:color w:val="4A5568"/>
          <w:sz w:val="22"/>
          <w:szCs w:val="22"/>
        </w:rPr>
        <w:t xml:space="preserve">[8]  </w:t>
      </w:r>
      <w:r>
        <w:rPr>
          <w:rFonts w:ascii="Times New Roman" w:hAnsi="Times New Roman" w:eastAsia="Times New Roman" w:cs="Times New Roman"/>
          <w:color w:val="000000"/>
          <w:sz w:val="22"/>
          <w:szCs w:val="22"/>
        </w:rPr>
        <w:t>Planck Collaboration (2020). Planck 2018 results. VI. Cosmological parameters. Astron. Astrophys. 641, A6.</w:t>
      </w:r>
    </w:p>
    <w:p w14:paraId="585D474B">
      <w:pPr>
        <w:spacing w:before="0" w:after="100"/>
        <w:ind w:left="540" w:hanging="540"/>
      </w:pPr>
      <w:r>
        <w:rPr>
          <w:rFonts w:ascii="Times New Roman" w:hAnsi="Times New Roman" w:eastAsia="Times New Roman" w:cs="Times New Roman"/>
          <w:b/>
          <w:bCs/>
          <w:color w:val="4A5568"/>
          <w:sz w:val="22"/>
          <w:szCs w:val="22"/>
        </w:rPr>
        <w:t xml:space="preserve">[9]  </w:t>
      </w:r>
      <w:r>
        <w:rPr>
          <w:rFonts w:ascii="Times New Roman" w:hAnsi="Times New Roman" w:eastAsia="Times New Roman" w:cs="Times New Roman"/>
          <w:color w:val="000000"/>
          <w:sz w:val="22"/>
          <w:szCs w:val="22"/>
        </w:rPr>
        <w:t>Bond, J.R., Kofman, L. &amp; Pogosyan, D. (1996). How filaments are woven into the cosmic web. Nature 380, 603.</w:t>
      </w:r>
    </w:p>
    <w:p w14:paraId="059FA5F4">
      <w:pPr>
        <w:spacing w:before="0" w:after="100"/>
        <w:ind w:left="540" w:hanging="540"/>
      </w:pPr>
      <w:r>
        <w:rPr>
          <w:rFonts w:ascii="Times New Roman" w:hAnsi="Times New Roman" w:eastAsia="Times New Roman" w:cs="Times New Roman"/>
          <w:b/>
          <w:bCs/>
          <w:color w:val="4A5568"/>
          <w:sz w:val="22"/>
          <w:szCs w:val="22"/>
        </w:rPr>
        <w:t xml:space="preserve">[10]  </w:t>
      </w:r>
      <w:r>
        <w:rPr>
          <w:rFonts w:ascii="Times New Roman" w:hAnsi="Times New Roman" w:eastAsia="Times New Roman" w:cs="Times New Roman"/>
          <w:color w:val="000000"/>
          <w:sz w:val="22"/>
          <w:szCs w:val="22"/>
        </w:rPr>
        <w:t>Cautun, M., van de Weygaert, R. &amp; Jones, B.J.T. (2013). NEXUS: tracing the cosmic web connection. Mon. Not. R. Astron. Soc. 429, 1286.</w:t>
      </w:r>
    </w:p>
    <w:p w14:paraId="2C197233">
      <w:pPr>
        <w:spacing w:before="0" w:after="100"/>
        <w:ind w:left="540" w:hanging="540"/>
      </w:pPr>
      <w:r>
        <w:rPr>
          <w:rFonts w:ascii="Times New Roman" w:hAnsi="Times New Roman" w:eastAsia="Times New Roman" w:cs="Times New Roman"/>
          <w:b/>
          <w:bCs/>
          <w:color w:val="4A5568"/>
          <w:sz w:val="22"/>
          <w:szCs w:val="22"/>
        </w:rPr>
        <w:t xml:space="preserve">[11]  </w:t>
      </w:r>
      <w:r>
        <w:rPr>
          <w:rFonts w:ascii="Times New Roman" w:hAnsi="Times New Roman" w:eastAsia="Times New Roman" w:cs="Times New Roman"/>
          <w:color w:val="000000"/>
          <w:sz w:val="22"/>
          <w:szCs w:val="22"/>
        </w:rPr>
        <w:t>Hahn, O., Porciani, C., Carollo, C.M. &amp; Dekel, A. (2007). Properties of dark matter haloes in clusters, filaments, sheets, and voids. Mon. Not. R. Astron. Soc. 375, 489.</w:t>
      </w:r>
    </w:p>
    <w:p w14:paraId="66439D4C">
      <w:pPr>
        <w:spacing w:before="0" w:after="100"/>
        <w:ind w:left="540" w:hanging="540"/>
      </w:pPr>
      <w:r>
        <w:rPr>
          <w:rFonts w:ascii="Times New Roman" w:hAnsi="Times New Roman" w:eastAsia="Times New Roman" w:cs="Times New Roman"/>
          <w:b/>
          <w:bCs/>
          <w:color w:val="4A5568"/>
          <w:sz w:val="22"/>
          <w:szCs w:val="22"/>
        </w:rPr>
        <w:t xml:space="preserve">[12]  </w:t>
      </w:r>
      <w:r>
        <w:rPr>
          <w:rFonts w:ascii="Times New Roman" w:hAnsi="Times New Roman" w:eastAsia="Times New Roman" w:cs="Times New Roman"/>
          <w:color w:val="000000"/>
          <w:sz w:val="22"/>
          <w:szCs w:val="22"/>
        </w:rPr>
        <w:t>Solà, J. (2013). Cosmological constant and vacuum energy: old and new ideas. J. Phys. Conf. Ser. 453, 012015.</w:t>
      </w:r>
    </w:p>
    <w:p w14:paraId="2CBFAC06">
      <w:pPr>
        <w:spacing w:before="0" w:after="100"/>
        <w:ind w:left="540" w:hanging="540"/>
      </w:pPr>
      <w:r>
        <w:rPr>
          <w:rFonts w:ascii="Times New Roman" w:hAnsi="Times New Roman" w:eastAsia="Times New Roman" w:cs="Times New Roman"/>
          <w:b/>
          <w:bCs/>
          <w:color w:val="4A5568"/>
          <w:sz w:val="22"/>
          <w:szCs w:val="22"/>
        </w:rPr>
        <w:t xml:space="preserve">[13]  </w:t>
      </w:r>
      <w:r>
        <w:rPr>
          <w:rFonts w:ascii="Times New Roman" w:hAnsi="Times New Roman" w:eastAsia="Times New Roman" w:cs="Times New Roman"/>
          <w:color w:val="000000"/>
          <w:sz w:val="22"/>
          <w:szCs w:val="22"/>
        </w:rPr>
        <w:t>Solà Perracàulo, J., Gómez-Valent, A., de Cruz Pérez, J. &amp; Moreno-Pulido, C. (2023). Running vacuum model in quantum field theory in curved spacetime: a special viewpoint. Eur. Phys. J. C 83, 516.</w:t>
      </w:r>
    </w:p>
    <w:p w14:paraId="05E6541C">
      <w:pPr>
        <w:spacing w:before="0" w:after="100"/>
        <w:ind w:left="540" w:hanging="540"/>
      </w:pPr>
      <w:r>
        <w:rPr>
          <w:rFonts w:ascii="Times New Roman" w:hAnsi="Times New Roman" w:eastAsia="Times New Roman" w:cs="Times New Roman"/>
          <w:b/>
          <w:bCs/>
          <w:color w:val="4A5568"/>
          <w:sz w:val="22"/>
          <w:szCs w:val="22"/>
        </w:rPr>
        <w:t xml:space="preserve">[14]  </w:t>
      </w:r>
      <w:r>
        <w:rPr>
          <w:rFonts w:ascii="Times New Roman" w:hAnsi="Times New Roman" w:eastAsia="Times New Roman" w:cs="Times New Roman"/>
          <w:color w:val="000000"/>
          <w:sz w:val="22"/>
          <w:szCs w:val="22"/>
        </w:rPr>
        <w:t>Kibble, T.W.B. (1976). Topology of cosmic domains and strings. J. Phys. A 9, 1387.</w:t>
      </w:r>
    </w:p>
    <w:p w14:paraId="15F66ED9">
      <w:pPr>
        <w:spacing w:before="0" w:after="100"/>
        <w:ind w:left="540" w:hanging="540"/>
      </w:pPr>
      <w:r>
        <w:rPr>
          <w:rFonts w:ascii="Times New Roman" w:hAnsi="Times New Roman" w:eastAsia="Times New Roman" w:cs="Times New Roman"/>
          <w:b/>
          <w:bCs/>
          <w:color w:val="4A5568"/>
          <w:sz w:val="22"/>
          <w:szCs w:val="22"/>
        </w:rPr>
        <w:t xml:space="preserve">[15]  </w:t>
      </w:r>
      <w:r>
        <w:rPr>
          <w:rFonts w:ascii="Times New Roman" w:hAnsi="Times New Roman" w:eastAsia="Times New Roman" w:cs="Times New Roman"/>
          <w:color w:val="000000"/>
          <w:sz w:val="22"/>
          <w:szCs w:val="22"/>
        </w:rPr>
        <w:t>Dvali, G.R., Gabadadze, G. &amp; Porrati, M. (2000). 4D gravity on a brane in 5D Minkowski space. Phys. Lett. B 485, 208.</w:t>
      </w:r>
    </w:p>
    <w:p w14:paraId="0D05E69D">
      <w:pPr>
        <w:spacing w:before="0" w:after="100"/>
        <w:ind w:left="540" w:hanging="540"/>
      </w:pPr>
      <w:r>
        <w:rPr>
          <w:rFonts w:ascii="Times New Roman" w:hAnsi="Times New Roman" w:eastAsia="Times New Roman" w:cs="Times New Roman"/>
          <w:b/>
          <w:bCs/>
          <w:color w:val="4A5568"/>
          <w:sz w:val="22"/>
          <w:szCs w:val="22"/>
        </w:rPr>
        <w:t xml:space="preserve">[16]  </w:t>
      </w:r>
      <w:r>
        <w:rPr>
          <w:rFonts w:ascii="Times New Roman" w:hAnsi="Times New Roman" w:eastAsia="Times New Roman" w:cs="Times New Roman"/>
          <w:color w:val="000000"/>
          <w:sz w:val="22"/>
          <w:szCs w:val="22"/>
        </w:rPr>
        <w:t>Zurek, W.H. (1985). Cosmological experiments in superfluid helium? Nature 317, 505.</w:t>
      </w:r>
    </w:p>
    <w:p w14:paraId="254A57E2">
      <w:pPr>
        <w:spacing w:before="0" w:after="100"/>
        <w:ind w:left="540" w:hanging="540"/>
      </w:pPr>
      <w:r>
        <w:rPr>
          <w:rFonts w:ascii="Times New Roman" w:hAnsi="Times New Roman" w:eastAsia="Times New Roman" w:cs="Times New Roman"/>
          <w:b/>
          <w:bCs/>
          <w:color w:val="4A5568"/>
          <w:sz w:val="22"/>
          <w:szCs w:val="22"/>
        </w:rPr>
        <w:t xml:space="preserve">[17]  </w:t>
      </w:r>
      <w:r>
        <w:rPr>
          <w:rFonts w:ascii="Times New Roman" w:hAnsi="Times New Roman" w:eastAsia="Times New Roman" w:cs="Times New Roman"/>
          <w:color w:val="000000"/>
          <w:sz w:val="22"/>
          <w:szCs w:val="22"/>
        </w:rPr>
        <w:t>Wheeler, J.A. (1955). Geons. Phys. Rev. 97, 511.</w:t>
      </w:r>
    </w:p>
    <w:p w14:paraId="23E47CBE">
      <w:pPr>
        <w:spacing w:before="0" w:after="100"/>
        <w:ind w:left="540" w:hanging="540"/>
      </w:pPr>
      <w:r>
        <w:rPr>
          <w:rFonts w:ascii="Times New Roman" w:hAnsi="Times New Roman" w:eastAsia="Times New Roman" w:cs="Times New Roman"/>
          <w:b/>
          <w:bCs/>
          <w:color w:val="4A5568"/>
          <w:sz w:val="22"/>
          <w:szCs w:val="22"/>
        </w:rPr>
        <w:t xml:space="preserve">[18]  </w:t>
      </w:r>
      <w:r>
        <w:rPr>
          <w:rFonts w:ascii="Times New Roman" w:hAnsi="Times New Roman" w:eastAsia="Times New Roman" w:cs="Times New Roman"/>
          <w:color w:val="000000"/>
          <w:sz w:val="22"/>
          <w:szCs w:val="22"/>
        </w:rPr>
        <w:t>Casimir, H.B.G. (1948). On the attraction between two perfectly conducting plates. Proc. K. Ned. Akad. Wet. 51, 793.</w:t>
      </w:r>
    </w:p>
    <w:p w14:paraId="34155D6A">
      <w:pPr>
        <w:spacing w:before="0" w:after="100"/>
        <w:ind w:left="540" w:hanging="540"/>
      </w:pPr>
      <w:r>
        <w:rPr>
          <w:rFonts w:ascii="Times New Roman" w:hAnsi="Times New Roman" w:eastAsia="Times New Roman" w:cs="Times New Roman"/>
          <w:b/>
          <w:bCs/>
          <w:color w:val="4A5568"/>
          <w:sz w:val="22"/>
          <w:szCs w:val="22"/>
        </w:rPr>
        <w:t xml:space="preserve">[19]  </w:t>
      </w:r>
      <w:r>
        <w:rPr>
          <w:rFonts w:ascii="Times New Roman" w:hAnsi="Times New Roman" w:eastAsia="Times New Roman" w:cs="Times New Roman"/>
          <w:color w:val="000000"/>
          <w:sz w:val="22"/>
          <w:szCs w:val="22"/>
        </w:rPr>
        <w:t>McKee, C.F. &amp; Ostriker, E.C. (2007). Theory of star formation. Annu. Rev. Astron. Astrophys. 45, 565.</w:t>
      </w:r>
    </w:p>
    <w:p w14:paraId="71B4BB7C">
      <w:pPr>
        <w:spacing w:before="0" w:after="100"/>
        <w:ind w:left="540" w:hanging="540"/>
      </w:pPr>
      <w:r>
        <w:rPr>
          <w:rFonts w:ascii="Times New Roman" w:hAnsi="Times New Roman" w:eastAsia="Times New Roman" w:cs="Times New Roman"/>
          <w:b/>
          <w:bCs/>
          <w:color w:val="4A5568"/>
          <w:sz w:val="22"/>
          <w:szCs w:val="22"/>
        </w:rPr>
        <w:t xml:space="preserve">[20]  </w:t>
      </w:r>
      <w:r>
        <w:rPr>
          <w:rFonts w:ascii="Times New Roman" w:hAnsi="Times New Roman" w:eastAsia="Times New Roman" w:cs="Times New Roman"/>
          <w:color w:val="000000"/>
          <w:sz w:val="22"/>
          <w:szCs w:val="22"/>
        </w:rPr>
        <w:t>White, S.D.M. &amp; Rees, M.J. (1978). Core condensation in heavy halos. Mon. Not. R. Astron. Soc. 183, 341.</w:t>
      </w:r>
    </w:p>
    <w:p w14:paraId="6065AFCE">
      <w:pPr>
        <w:spacing w:before="0" w:after="100"/>
        <w:ind w:left="540" w:hanging="540"/>
      </w:pPr>
      <w:r>
        <w:rPr>
          <w:rFonts w:ascii="Times New Roman" w:hAnsi="Times New Roman" w:eastAsia="Times New Roman" w:cs="Times New Roman"/>
          <w:b/>
          <w:bCs/>
          <w:color w:val="4A5568"/>
          <w:sz w:val="22"/>
          <w:szCs w:val="22"/>
        </w:rPr>
        <w:t xml:space="preserve">[21]  </w:t>
      </w:r>
      <w:r>
        <w:rPr>
          <w:rFonts w:ascii="Times New Roman" w:hAnsi="Times New Roman" w:eastAsia="Times New Roman" w:cs="Times New Roman"/>
          <w:color w:val="000000"/>
          <w:sz w:val="22"/>
          <w:szCs w:val="22"/>
        </w:rPr>
        <w:t>Bond, J.R., Kofman, L. &amp; Pogosyan, D. (1996). How filaments are woven into the cosmic web. Nature 380, 603.</w:t>
      </w:r>
    </w:p>
    <w:p w14:paraId="31954BB5">
      <w:pPr>
        <w:spacing w:before="0" w:after="100"/>
        <w:ind w:left="540" w:hanging="540"/>
      </w:pPr>
      <w:r>
        <w:rPr>
          <w:rFonts w:ascii="Times New Roman" w:hAnsi="Times New Roman" w:eastAsia="Times New Roman" w:cs="Times New Roman"/>
          <w:b/>
          <w:bCs/>
          <w:color w:val="4A5568"/>
          <w:sz w:val="22"/>
          <w:szCs w:val="22"/>
        </w:rPr>
        <w:t xml:space="preserve">[22]  </w:t>
      </w:r>
      <w:r>
        <w:rPr>
          <w:rFonts w:ascii="Times New Roman" w:hAnsi="Times New Roman" w:eastAsia="Times New Roman" w:cs="Times New Roman"/>
          <w:color w:val="000000"/>
          <w:sz w:val="22"/>
          <w:szCs w:val="22"/>
        </w:rPr>
        <w:t>Dvali, G., Shafi, Q. &amp; Schaefer, R. (1994). Large scale structure and supersymmetric inflation without fine tuning. Phys. Rev. Lett. 73, 1886.</w:t>
      </w:r>
    </w:p>
    <w:p w14:paraId="694E7980">
      <w:pPr>
        <w:spacing w:before="0" w:after="100"/>
        <w:ind w:left="540" w:hanging="540"/>
      </w:pPr>
      <w:r>
        <w:rPr>
          <w:rFonts w:ascii="Times New Roman" w:hAnsi="Times New Roman" w:eastAsia="Times New Roman" w:cs="Times New Roman"/>
          <w:b/>
          <w:bCs/>
          <w:color w:val="4A5568"/>
          <w:sz w:val="22"/>
          <w:szCs w:val="22"/>
        </w:rPr>
        <w:t xml:space="preserve">[23]  </w:t>
      </w:r>
      <w:r>
        <w:rPr>
          <w:rFonts w:ascii="Times New Roman" w:hAnsi="Times New Roman" w:eastAsia="Times New Roman" w:cs="Times New Roman"/>
          <w:color w:val="000000"/>
          <w:sz w:val="22"/>
          <w:szCs w:val="22"/>
        </w:rPr>
        <w:t>Sousbie, T. (2011). The persistent cosmic web and its filamentary structure. Mon. Not. R. Astron. Soc. 414, 350.</w:t>
      </w:r>
    </w:p>
    <w:p w14:paraId="3A610ACA">
      <w:pPr>
        <w:spacing w:before="0" w:after="100"/>
        <w:ind w:left="540" w:hanging="540"/>
      </w:pPr>
      <w:r>
        <w:rPr>
          <w:rFonts w:ascii="Times New Roman" w:hAnsi="Times New Roman" w:eastAsia="Times New Roman" w:cs="Times New Roman"/>
          <w:b/>
          <w:bCs/>
          <w:color w:val="4A5568"/>
          <w:sz w:val="22"/>
          <w:szCs w:val="22"/>
        </w:rPr>
        <w:t xml:space="preserve">[24]  </w:t>
      </w:r>
      <w:r>
        <w:rPr>
          <w:rFonts w:ascii="Times New Roman" w:hAnsi="Times New Roman" w:eastAsia="Times New Roman" w:cs="Times New Roman"/>
          <w:color w:val="000000"/>
          <w:sz w:val="22"/>
          <w:szCs w:val="22"/>
        </w:rPr>
        <w:t>Springel, V. et al. (2005). Simulations of the formation, evolution and clustering of galaxies and quasars. Nature 435, 629.</w:t>
      </w:r>
    </w:p>
    <w:p w14:paraId="4A0EAD3C">
      <w:pPr>
        <w:spacing w:before="0" w:after="100"/>
        <w:ind w:left="540" w:hanging="540"/>
      </w:pPr>
      <w:r>
        <w:rPr>
          <w:rFonts w:ascii="Times New Roman" w:hAnsi="Times New Roman" w:eastAsia="Times New Roman" w:cs="Times New Roman"/>
          <w:b/>
          <w:bCs/>
          <w:color w:val="4A5568"/>
          <w:sz w:val="22"/>
          <w:szCs w:val="22"/>
        </w:rPr>
        <w:t xml:space="preserve">[25]  </w:t>
      </w:r>
      <w:r>
        <w:rPr>
          <w:rFonts w:ascii="Times New Roman" w:hAnsi="Times New Roman" w:eastAsia="Times New Roman" w:cs="Times New Roman"/>
          <w:color w:val="000000"/>
          <w:sz w:val="22"/>
          <w:szCs w:val="22"/>
        </w:rPr>
        <w:t>Press, W.H. &amp; Schechter, P. (1974). Formation of galaxies and clusters of galaxies by self-similar gravitational condensation. Astrophys. J. 187, 425.</w:t>
      </w:r>
    </w:p>
    <w:p w14:paraId="482568D3">
      <w:pPr>
        <w:spacing w:before="0" w:after="100"/>
        <w:ind w:left="540" w:hanging="540"/>
      </w:pPr>
      <w:r>
        <w:rPr>
          <w:rFonts w:ascii="Times New Roman" w:hAnsi="Times New Roman" w:eastAsia="Times New Roman" w:cs="Times New Roman"/>
          <w:b/>
          <w:bCs/>
          <w:color w:val="4A5568"/>
          <w:sz w:val="22"/>
          <w:szCs w:val="22"/>
        </w:rPr>
        <w:t xml:space="preserve">[26]  </w:t>
      </w:r>
      <w:r>
        <w:rPr>
          <w:rFonts w:ascii="Times New Roman" w:hAnsi="Times New Roman" w:eastAsia="Times New Roman" w:cs="Times New Roman"/>
          <w:color w:val="000000"/>
          <w:sz w:val="22"/>
          <w:szCs w:val="22"/>
        </w:rPr>
        <w:t>Hillert, M. (1965). On the theory of normal and abnormal grain growth. Acta Metall. 13, 227.</w:t>
      </w:r>
    </w:p>
    <w:p w14:paraId="2D34FC8C">
      <w:pPr>
        <w:spacing w:before="0" w:after="100"/>
        <w:ind w:left="540" w:hanging="540"/>
      </w:pPr>
      <w:r>
        <w:rPr>
          <w:rFonts w:ascii="Times New Roman" w:hAnsi="Times New Roman" w:eastAsia="Times New Roman" w:cs="Times New Roman"/>
          <w:b/>
          <w:bCs/>
          <w:color w:val="4A5568"/>
          <w:sz w:val="22"/>
          <w:szCs w:val="22"/>
        </w:rPr>
        <w:t xml:space="preserve">[27]  </w:t>
      </w:r>
      <w:r>
        <w:rPr>
          <w:rFonts w:ascii="Times New Roman" w:hAnsi="Times New Roman" w:eastAsia="Times New Roman" w:cs="Times New Roman"/>
          <w:color w:val="000000"/>
          <w:sz w:val="22"/>
          <w:szCs w:val="22"/>
        </w:rPr>
        <w:t>Gibbons, G.W. &amp; Hawking, S.W. (1977). Cosmological event horizons, thermodynamics, and particle creation. Phys. Rev. D 15, 2738.</w:t>
      </w:r>
    </w:p>
    <w:p w14:paraId="2D3EF1E9">
      <w:pPr>
        <w:spacing w:before="0" w:after="100"/>
        <w:ind w:left="540" w:hanging="540"/>
      </w:pPr>
      <w:r>
        <w:rPr>
          <w:rFonts w:ascii="Times New Roman" w:hAnsi="Times New Roman" w:eastAsia="Times New Roman" w:cs="Times New Roman"/>
          <w:b/>
          <w:bCs/>
          <w:color w:val="4A5568"/>
          <w:sz w:val="22"/>
          <w:szCs w:val="22"/>
        </w:rPr>
        <w:t xml:space="preserve">[28]  </w:t>
      </w:r>
      <w:r>
        <w:rPr>
          <w:rFonts w:ascii="Times New Roman" w:hAnsi="Times New Roman" w:eastAsia="Times New Roman" w:cs="Times New Roman"/>
          <w:color w:val="000000"/>
          <w:sz w:val="22"/>
          <w:szCs w:val="22"/>
        </w:rPr>
        <w:t>Zurek, W.H. (1996). Cosmological experiments in condensed matter systems. Phys. Rep. 276, 177.</w:t>
      </w:r>
    </w:p>
    <w:p w14:paraId="16D43B6C">
      <w:pPr>
        <w:spacing w:before="0" w:after="100"/>
        <w:ind w:left="540" w:hanging="540"/>
      </w:pPr>
      <w:r>
        <w:rPr>
          <w:rFonts w:ascii="Times New Roman" w:hAnsi="Times New Roman" w:eastAsia="Times New Roman" w:cs="Times New Roman"/>
          <w:b/>
          <w:bCs/>
          <w:color w:val="4A5568"/>
          <w:sz w:val="22"/>
          <w:szCs w:val="22"/>
        </w:rPr>
        <w:t xml:space="preserve">[29]  </w:t>
      </w:r>
      <w:r>
        <w:rPr>
          <w:rFonts w:ascii="Times New Roman" w:hAnsi="Times New Roman" w:eastAsia="Times New Roman" w:cs="Times New Roman"/>
          <w:color w:val="000000"/>
          <w:sz w:val="22"/>
          <w:szCs w:val="22"/>
        </w:rPr>
        <w:t>Randall, L. &amp; Sundrum, R. (1999). An alternative to compactification. Phys. Rev. Lett. 83, 4690.</w:t>
      </w:r>
    </w:p>
    <w:p w14:paraId="66D161F1">
      <w:pPr>
        <w:spacing w:before="0" w:after="100"/>
        <w:ind w:left="540" w:hanging="540"/>
      </w:pPr>
      <w:r>
        <w:rPr>
          <w:rFonts w:ascii="Times New Roman" w:hAnsi="Times New Roman" w:eastAsia="Times New Roman" w:cs="Times New Roman"/>
          <w:b/>
          <w:bCs/>
          <w:color w:val="4A5568"/>
          <w:sz w:val="22"/>
          <w:szCs w:val="22"/>
        </w:rPr>
        <w:t xml:space="preserve">[30]  </w:t>
      </w:r>
      <w:r>
        <w:rPr>
          <w:rFonts w:ascii="Times New Roman" w:hAnsi="Times New Roman" w:eastAsia="Times New Roman" w:cs="Times New Roman"/>
          <w:color w:val="000000"/>
          <w:sz w:val="22"/>
          <w:szCs w:val="22"/>
        </w:rPr>
        <w:t>Maldacena, J. (1998). The large N limit of superconformal field theories and supergravity. Adv. Theor. Math. Phys. 2, 231.</w:t>
      </w:r>
    </w:p>
    <w:p w14:paraId="6930851E">
      <w:pPr>
        <w:spacing w:before="0" w:after="100"/>
        <w:ind w:left="540" w:hanging="540"/>
      </w:pPr>
      <w:r>
        <w:rPr>
          <w:rFonts w:ascii="Times New Roman" w:hAnsi="Times New Roman" w:eastAsia="Times New Roman" w:cs="Times New Roman"/>
          <w:b/>
          <w:bCs/>
          <w:color w:val="4A5568"/>
          <w:sz w:val="22"/>
          <w:szCs w:val="22"/>
        </w:rPr>
        <w:t xml:space="preserve">[31]  </w:t>
      </w:r>
      <w:r>
        <w:rPr>
          <w:rFonts w:ascii="Times New Roman" w:hAnsi="Times New Roman" w:eastAsia="Times New Roman" w:cs="Times New Roman"/>
          <w:color w:val="000000"/>
          <w:sz w:val="22"/>
          <w:szCs w:val="22"/>
        </w:rPr>
        <w:t>'t Hooft, G. (1993). Dimensional reduction in quantum gravity. arXiv:gr-qc/9310026.</w:t>
      </w:r>
    </w:p>
    <w:p w14:paraId="1B491A8F">
      <w:pPr>
        <w:spacing w:before="0" w:after="100"/>
        <w:ind w:left="540" w:hanging="540"/>
      </w:pPr>
      <w:r>
        <w:rPr>
          <w:rFonts w:ascii="Times New Roman" w:hAnsi="Times New Roman" w:eastAsia="Times New Roman" w:cs="Times New Roman"/>
          <w:b/>
          <w:bCs/>
          <w:color w:val="4A5568"/>
          <w:sz w:val="22"/>
          <w:szCs w:val="22"/>
        </w:rPr>
        <w:t xml:space="preserve">[32]  </w:t>
      </w:r>
      <w:r>
        <w:rPr>
          <w:rFonts w:ascii="Times New Roman" w:hAnsi="Times New Roman" w:eastAsia="Times New Roman" w:cs="Times New Roman"/>
          <w:color w:val="000000"/>
          <w:sz w:val="22"/>
          <w:szCs w:val="22"/>
        </w:rPr>
        <w:t>Susskind, L. (1995). The world as a hologram. J. Math. Phys. 36, 6377.</w:t>
      </w:r>
    </w:p>
    <w:p w14:paraId="22DA7141">
      <w:pPr>
        <w:spacing w:before="0" w:after="100"/>
        <w:ind w:left="540" w:hanging="540"/>
      </w:pPr>
      <w:r>
        <w:rPr>
          <w:rFonts w:ascii="Times New Roman" w:hAnsi="Times New Roman" w:eastAsia="Times New Roman" w:cs="Times New Roman"/>
          <w:b/>
          <w:bCs/>
          <w:color w:val="4A5568"/>
          <w:sz w:val="22"/>
          <w:szCs w:val="22"/>
        </w:rPr>
        <w:t xml:space="preserve">[33]  </w:t>
      </w:r>
      <w:r>
        <w:rPr>
          <w:rFonts w:ascii="Times New Roman" w:hAnsi="Times New Roman" w:eastAsia="Times New Roman" w:cs="Times New Roman"/>
          <w:color w:val="000000"/>
          <w:sz w:val="22"/>
          <w:szCs w:val="22"/>
        </w:rPr>
        <w:t>Sparnaay, M.J. (1958). Measurements of attractive forces between flat plates. Physica 24, 751.</w:t>
      </w:r>
    </w:p>
    <w:p w14:paraId="133C9438">
      <w:pPr>
        <w:spacing w:before="0" w:after="100"/>
        <w:ind w:left="540" w:hanging="540"/>
      </w:pPr>
      <w:r>
        <w:rPr>
          <w:rFonts w:ascii="Times New Roman" w:hAnsi="Times New Roman" w:eastAsia="Times New Roman" w:cs="Times New Roman"/>
          <w:b/>
          <w:bCs/>
          <w:color w:val="4A5568"/>
          <w:sz w:val="22"/>
          <w:szCs w:val="22"/>
        </w:rPr>
        <w:t xml:space="preserve">[34]  </w:t>
      </w:r>
      <w:r>
        <w:rPr>
          <w:rFonts w:ascii="Times New Roman" w:hAnsi="Times New Roman" w:eastAsia="Times New Roman" w:cs="Times New Roman"/>
          <w:color w:val="000000"/>
          <w:sz w:val="22"/>
          <w:szCs w:val="22"/>
        </w:rPr>
        <w:t>Euclid Collaboration (2020). Euclid preparation: VII. Forecast validation for Euclid cosmological probes. Astron. Astrophys. 642, A191.</w:t>
      </w:r>
    </w:p>
    <w:p w14:paraId="6C34A013">
      <w:pPr>
        <w:spacing w:before="0" w:after="100"/>
        <w:ind w:left="540" w:hanging="540"/>
      </w:pPr>
      <w:r>
        <w:rPr>
          <w:rFonts w:ascii="Times New Roman" w:hAnsi="Times New Roman" w:eastAsia="Times New Roman" w:cs="Times New Roman"/>
          <w:b/>
          <w:bCs/>
          <w:color w:val="4A5568"/>
          <w:sz w:val="22"/>
          <w:szCs w:val="22"/>
        </w:rPr>
        <w:t xml:space="preserve">[35]  </w:t>
      </w:r>
      <w:r>
        <w:rPr>
          <w:rFonts w:ascii="Times New Roman" w:hAnsi="Times New Roman" w:eastAsia="Times New Roman" w:cs="Times New Roman"/>
          <w:color w:val="000000"/>
          <w:sz w:val="22"/>
          <w:szCs w:val="22"/>
        </w:rPr>
        <w:t>Tempel, E. et al. (2014). Detecting filamentary pattern in the cosmic web: a catalogue of filaments for the SDSS. Mon. Not. R. Astron. Soc. 438, 3465.</w:t>
      </w:r>
    </w:p>
    <w:p w14:paraId="78DF4CC4">
      <w:pPr>
        <w:spacing w:before="0" w:after="100"/>
        <w:ind w:left="540" w:hanging="540"/>
      </w:pPr>
      <w:r>
        <w:rPr>
          <w:rFonts w:ascii="Times New Roman" w:hAnsi="Times New Roman" w:eastAsia="Times New Roman" w:cs="Times New Roman"/>
          <w:b/>
          <w:bCs/>
          <w:color w:val="4A5568"/>
          <w:sz w:val="22"/>
          <w:szCs w:val="22"/>
        </w:rPr>
        <w:t xml:space="preserve">[36]  </w:t>
      </w:r>
      <w:r>
        <w:rPr>
          <w:rFonts w:ascii="Times New Roman" w:hAnsi="Times New Roman" w:eastAsia="Times New Roman" w:cs="Times New Roman"/>
          <w:color w:val="000000"/>
          <w:sz w:val="22"/>
          <w:szCs w:val="22"/>
        </w:rPr>
        <w:t>Maartens, R. &amp; Koyama, K. (2010). Brane-world gravity. Living Rev. Relativ. 13, 5.</w:t>
      </w:r>
    </w:p>
    <w:p w14:paraId="0DCE3901">
      <w:pPr>
        <w:spacing w:before="0" w:after="100"/>
        <w:ind w:left="540" w:hanging="540"/>
      </w:pPr>
      <w:r>
        <w:rPr>
          <w:rFonts w:ascii="Times New Roman" w:hAnsi="Times New Roman" w:eastAsia="Times New Roman" w:cs="Times New Roman"/>
          <w:b/>
          <w:bCs/>
          <w:color w:val="4A5568"/>
          <w:sz w:val="22"/>
          <w:szCs w:val="22"/>
        </w:rPr>
        <w:t xml:space="preserve">[37]  </w:t>
      </w:r>
      <w:r>
        <w:rPr>
          <w:rFonts w:ascii="Times New Roman" w:hAnsi="Times New Roman" w:eastAsia="Times New Roman" w:cs="Times New Roman"/>
          <w:color w:val="000000"/>
          <w:sz w:val="22"/>
          <w:szCs w:val="22"/>
        </w:rPr>
        <w:t>Steinhardt, P.J. &amp; Turok, N. (2002). A cyclic universe. Science 296, 1436.</w:t>
      </w:r>
    </w:p>
    <w:p w14:paraId="6A09FC1C">
      <w:pPr>
        <w:spacing w:before="0" w:after="100"/>
        <w:ind w:left="540" w:hanging="540"/>
      </w:pPr>
      <w:r>
        <w:rPr>
          <w:rFonts w:ascii="Times New Roman" w:hAnsi="Times New Roman" w:eastAsia="Times New Roman" w:cs="Times New Roman"/>
          <w:b/>
          <w:bCs/>
          <w:color w:val="4A5568"/>
          <w:sz w:val="22"/>
          <w:szCs w:val="22"/>
        </w:rPr>
        <w:t xml:space="preserve">[38]  </w:t>
      </w:r>
      <w:r>
        <w:rPr>
          <w:rFonts w:ascii="Times New Roman" w:hAnsi="Times New Roman" w:eastAsia="Times New Roman" w:cs="Times New Roman"/>
          <w:color w:val="000000"/>
          <w:sz w:val="22"/>
          <w:szCs w:val="22"/>
        </w:rPr>
        <w:t>Ambjorn, J., Jurkiewicz, J. &amp; Loll, R. (2004). Emergence of a 4D world from causal quantum gravity. Phys. Rev. Lett. 93, 131301.</w:t>
      </w:r>
    </w:p>
    <w:p w14:paraId="6CDD9A09">
      <w:pPr>
        <w:spacing w:before="0" w:after="100"/>
        <w:ind w:left="540" w:hanging="540"/>
      </w:pPr>
      <w:r>
        <w:rPr>
          <w:rFonts w:ascii="Times New Roman" w:hAnsi="Times New Roman" w:eastAsia="Times New Roman" w:cs="Times New Roman"/>
          <w:b/>
          <w:bCs/>
          <w:color w:val="4A5568"/>
          <w:sz w:val="22"/>
          <w:szCs w:val="22"/>
        </w:rPr>
        <w:t xml:space="preserve">[39]  </w:t>
      </w:r>
      <w:r>
        <w:rPr>
          <w:rFonts w:ascii="Times New Roman" w:hAnsi="Times New Roman" w:eastAsia="Times New Roman" w:cs="Times New Roman"/>
          <w:color w:val="000000"/>
          <w:sz w:val="22"/>
          <w:szCs w:val="22"/>
        </w:rPr>
        <w:t>Rovelli, C. &amp; Smolin, L. (1995). Spin networks and quantum gravity. Phys. Rev. D 52, 5743.</w:t>
      </w:r>
    </w:p>
    <w:p w14:paraId="1E725B2D">
      <w:pPr>
        <w:spacing w:before="0" w:after="100"/>
        <w:ind w:left="540" w:hanging="540"/>
      </w:pPr>
      <w:r>
        <w:rPr>
          <w:rFonts w:ascii="Times New Roman" w:hAnsi="Times New Roman" w:eastAsia="Times New Roman" w:cs="Times New Roman"/>
          <w:b/>
          <w:bCs/>
          <w:color w:val="4A5568"/>
          <w:sz w:val="22"/>
          <w:szCs w:val="22"/>
        </w:rPr>
        <w:t xml:space="preserve">[40]  </w:t>
      </w:r>
      <w:r>
        <w:rPr>
          <w:rFonts w:ascii="Times New Roman" w:hAnsi="Times New Roman" w:eastAsia="Times New Roman" w:cs="Times New Roman"/>
          <w:color w:val="000000"/>
          <w:sz w:val="22"/>
          <w:szCs w:val="22"/>
        </w:rPr>
        <w:t>Boyer, T.H. (1975). Random electrodynamics: the theory of classical electrodynamics with classical electromagnetic zero-point radiation. Phys. Rev. D 11, 790.</w:t>
      </w:r>
    </w:p>
    <w:p w14:paraId="4A9C0D05">
      <w:pPr>
        <w:spacing w:before="0" w:after="100"/>
        <w:ind w:left="540" w:hanging="540"/>
      </w:pPr>
      <w:r>
        <w:rPr>
          <w:rFonts w:ascii="Times New Roman" w:hAnsi="Times New Roman" w:eastAsia="Times New Roman" w:cs="Times New Roman"/>
          <w:b/>
          <w:bCs/>
          <w:color w:val="4A5568"/>
          <w:sz w:val="22"/>
          <w:szCs w:val="22"/>
        </w:rPr>
        <w:t xml:space="preserve">[41]  </w:t>
      </w:r>
      <w:r>
        <w:rPr>
          <w:rFonts w:ascii="Times New Roman" w:hAnsi="Times New Roman" w:eastAsia="Times New Roman" w:cs="Times New Roman"/>
          <w:color w:val="000000"/>
          <w:sz w:val="22"/>
          <w:szCs w:val="22"/>
        </w:rPr>
        <w:t>Nelson, E. (1966). Derivation of the Schrödinger equation from Newtonian mechanics. Phys. Rev. 150, 1079.</w:t>
      </w:r>
    </w:p>
    <w:p w14:paraId="3C63398F">
      <w:pPr>
        <w:spacing w:before="0" w:after="100"/>
        <w:ind w:left="540" w:hanging="540"/>
      </w:pPr>
      <w:r>
        <w:rPr>
          <w:rFonts w:ascii="Times New Roman" w:hAnsi="Times New Roman" w:eastAsia="Times New Roman" w:cs="Times New Roman"/>
          <w:b/>
          <w:bCs/>
          <w:color w:val="4A5568"/>
          <w:sz w:val="22"/>
          <w:szCs w:val="22"/>
        </w:rPr>
        <w:t xml:space="preserve">[42]  </w:t>
      </w:r>
      <w:r>
        <w:rPr>
          <w:rFonts w:ascii="Times New Roman" w:hAnsi="Times New Roman" w:eastAsia="Times New Roman" w:cs="Times New Roman"/>
          <w:color w:val="000000"/>
          <w:sz w:val="22"/>
          <w:szCs w:val="22"/>
        </w:rPr>
        <w:t>Ehrenfest, P. (1920). How do the fundamental laws of physics make specific the number of dimensions of space? Proc. Amst. Acad. 20, 200.</w:t>
      </w:r>
    </w:p>
    <w:p w14:paraId="3A1CF969">
      <w:pPr>
        <w:spacing w:before="200" w:after="0"/>
      </w:pPr>
    </w:p>
    <w:sectPr>
      <w:pgSz w:w="12240" w:h="15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74CE0DC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4"/>
      <w:szCs w:val="24"/>
    </w:rPr>
  </w:style>
  <w:style w:type="paragraph" w:styleId="2">
    <w:name w:val="heading 1"/>
    <w:next w:val="1"/>
    <w:qFormat/>
    <w:uiPriority w:val="0"/>
    <w:pPr>
      <w:spacing w:before="360" w:after="120"/>
      <w:outlineLvl w:val="0"/>
    </w:pPr>
    <w:rPr>
      <w:rFonts w:ascii="Arial" w:hAnsi="Arial" w:eastAsia="Arial" w:cs="Arial"/>
      <w:b/>
      <w:bCs/>
      <w:color w:val="000000"/>
      <w:sz w:val="24"/>
      <w:szCs w:val="24"/>
    </w:rPr>
  </w:style>
  <w:style w:type="paragraph" w:styleId="3">
    <w:name w:val="heading 2"/>
    <w:next w:val="1"/>
    <w:qFormat/>
    <w:uiPriority w:val="0"/>
    <w:pPr>
      <w:spacing w:before="240" w:after="80"/>
      <w:outlineLvl w:val="1"/>
    </w:pPr>
    <w:rPr>
      <w:rFonts w:ascii="Arial" w:hAnsi="Arial" w:eastAsia="Arial" w:cs="Arial"/>
      <w:b/>
      <w:bCs/>
      <w:i/>
      <w:iCs/>
      <w:color w:val="000000"/>
      <w:sz w:val="24"/>
      <w:szCs w:val="24"/>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Times New Roman" w:hAnsi="Times New Roman" w:eastAsia="Times New Roman" w:cs="Times New Roman"/>
      <w:color w:val="000000"/>
      <w:sz w:val="20"/>
      <w:szCs w:val="20"/>
    </w:rPr>
  </w:style>
  <w:style w:type="character" w:styleId="12">
    <w:name w:val="Hyperlink"/>
    <w:unhideWhenUsed/>
    <w:uiPriority w:val="99"/>
    <w:rPr>
      <w:color w:val="0563C1"/>
      <w:u w:val="single"/>
    </w:rPr>
  </w:style>
  <w:style w:type="paragraph" w:styleId="13">
    <w:name w:val="Title"/>
    <w:qFormat/>
    <w:uiPriority w:val="0"/>
    <w:rPr>
      <w:rFonts w:ascii="Times New Roman" w:hAnsi="Times New Roman" w:eastAsia="Times New Roman" w:cs="Times New Roman"/>
      <w:color w:val="000000"/>
      <w:sz w:val="56"/>
      <w:szCs w:val="56"/>
    </w:rPr>
  </w:style>
  <w:style w:type="paragraph" w:styleId="14">
    <w:name w:val="List Paragraph"/>
    <w:qFormat/>
    <w:uiPriority w:val="0"/>
    <w:rPr>
      <w:rFonts w:ascii="Times New Roman" w:hAnsi="Times New Roman" w:eastAsia="Times New Roman" w:cs="Times New Roman"/>
      <w:color w:val="000000"/>
      <w:sz w:val="24"/>
      <w:szCs w:val="24"/>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TotalTime>0</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2026-03-09T22:45:00Z</dcterms:created>
  <dc:creator>Un-named</dc:creator>
  <cp:lastModifiedBy>dmytr</cp:lastModifiedBy>
  <dcterms:modified xsi:type="dcterms:W3CDTF">2026-03-10T10:02:33Z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65307E76587C46C08E9BD1048E12E7F2_13</vt:lpwstr>
  </property>
</Properties>
</file>