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A2E"/>
          <w:sz w:val="52"/>
          <w:szCs w:val="52"/>
        </w:rPr>
        <w:t xml:space="preserve">ECONOMIC CONSEQUENCES</w:t>
      </w:r>
    </w:p>
    <w:p>
      <w:pPr>
        <w:spacing w:before="0" w:after="120"/>
        <w:jc w:val="center"/>
      </w:pPr>
      <w:r>
        <w:rPr>
          <w:rFonts w:ascii="Arial" w:cs="Arial" w:eastAsia="Arial" w:hAnsi="Arial"/>
          <w:b/>
          <w:bCs/>
          <w:color w:val="2E4057"/>
          <w:sz w:val="36"/>
          <w:szCs w:val="36"/>
        </w:rPr>
        <w:t xml:space="preserve">OF NEUROMORPHIC AI AND CCDR COSMOPHYSICS</w:t>
      </w:r>
    </w:p>
    <w:p>
      <w:pPr>
        <w:spacing w:before="0" w:after="120"/>
        <w:jc w:val="center"/>
      </w:pPr>
      <w:r>
        <w:rPr>
          <w:rFonts w:ascii="Arial" w:cs="Arial" w:eastAsia="Arial" w:hAnsi="Arial"/>
          <w:i/>
          <w:iCs/>
          <w:color w:val="555555"/>
          <w:sz w:val="24"/>
          <w:szCs w:val="24"/>
        </w:rPr>
        <w:t xml:space="preserve">Applied to the World Economy: Labor, Capital, Cryptography, and Civilizational Transition</w:t>
      </w:r>
    </w:p>
    <w:p>
      <w:pPr>
        <w:spacing w:before="80" w:after="480"/>
        <w:jc w:val="center"/>
      </w:pPr>
      <w:r>
        <w:rPr>
          <w:rFonts w:ascii="Arial" w:cs="Arial" w:eastAsia="Arial" w:hAnsi="Arial"/>
          <w:color w:val="888888"/>
          <w:sz w:val="20"/>
          <w:szCs w:val="20"/>
        </w:rPr>
        <w:t xml:space="preserve">March 2026  |  jneopallium Framework  |  CCDR v5</w:t>
      </w:r>
    </w:p>
    <w:p>
      <w:pPr>
        <w:pBdr>
          <w:bottom w:val="single" w:color="2E4057" w:sz="4" w:space="1"/>
        </w:pBdr>
        <w:spacing w:before="200" w:after="200"/>
      </w:pPr>
    </w:p>
    <w:p>
      <w:pPr>
        <w:pStyle w:val="Heading1"/>
        <w:spacing w:before="360" w:after="200"/>
      </w:pPr>
      <w:r>
        <w:rPr>
          <w:rFonts w:ascii="Arial" w:cs="Arial" w:eastAsia="Arial" w:hAnsi="Arial"/>
          <w:b/>
          <w:bCs/>
          <w:sz w:val="36"/>
          <w:szCs w:val="36"/>
        </w:rPr>
        <w:t xml:space="preserve">Abstract</w:t>
      </w:r>
    </w:p>
    <w:p>
      <w:pPr>
        <w:spacing w:before="100" w:after="100"/>
        <w:jc w:val="both"/>
      </w:pPr>
      <w:r>
        <w:rPr>
          <w:rFonts w:ascii="Arial" w:cs="Arial" w:eastAsia="Arial" w:hAnsi="Arial"/>
          <w:sz w:val="22"/>
          <w:szCs w:val="22"/>
        </w:rPr>
        <w:t xml:space="preserve">This paper analyzes the macroeconomic consequences of two interlocking technological developments: (1) the deployment of jneopallium-class neuromorphic autonomous AI systems capable of executing cognitive labor across the full skill spectrum, and (2) the practical application of CCDR (Crystallographic Cosmology from Dimensional Reduction) engineering outputs — particularly phononic computing, dark-sector qubit substrates, and vacuum energy extraction. These are not treated as independent disruptions. Their convergence produces a non-linear civilizational phase transition whose economic consequences cannot be modeled by conventional productivity analysis.</w:t>
      </w:r>
    </w:p>
    <w:p>
      <w:pPr>
        <w:spacing w:before="100" w:after="100"/>
        <w:jc w:val="both"/>
      </w:pPr>
      <w:r>
        <w:rPr>
          <w:rFonts w:ascii="Arial" w:cs="Arial" w:eastAsia="Arial" w:hAnsi="Arial"/>
          <w:sz w:val="22"/>
          <w:szCs w:val="22"/>
        </w:rPr>
        <w:t xml:space="preserve">We identify five primary economic shock vectors: (I) aggregate demand collapse from mass cognitive unemployment, (II) cryptographic infrastructure failure from quantum-classical hybrid AI computation, (III) energy sector disruption from vacuum energy and phononic thermal management, (IV) materials and manufacturing revolution from crystal engineering, and (V) capital structure inversion as coherence becomes the primary commodity replacing both energy and labor. Each vector is analyzed separately then their interactions modeled.</w:t>
      </w:r>
    </w:p>
    <w:p>
      <w:pPr>
        <w:spacing w:before="100" w:after="100"/>
        <w:jc w:val="both"/>
      </w:pPr>
      <w:r>
        <w:rPr>
          <w:rFonts w:ascii="Arial" w:cs="Arial" w:eastAsia="Arial" w:hAnsi="Arial"/>
          <w:sz w:val="22"/>
          <w:szCs w:val="22"/>
        </w:rPr>
        <w:t xml:space="preserve">The paper concludes that the relevant policy question is not how to slow these transitions but how to design an economic architecture capable of surviving them without catastrophic demand destruction or civilizational regression.</w:t>
      </w:r>
    </w:p>
    <w:p>
      <w:pPr>
        <w:pBdr>
          <w:bottom w:val="single" w:color="2E4057" w:sz="4" w:space="1"/>
        </w:pBdr>
        <w:spacing w:before="200" w:after="200"/>
      </w:pPr>
    </w:p>
    <w:p>
      <w:pPr>
        <w:pStyle w:val="Heading1"/>
        <w:spacing w:before="360" w:after="200"/>
      </w:pPr>
      <w:r>
        <w:rPr>
          <w:rFonts w:ascii="Arial" w:cs="Arial" w:eastAsia="Arial" w:hAnsi="Arial"/>
          <w:b/>
          <w:bCs/>
          <w:sz w:val="36"/>
          <w:szCs w:val="36"/>
        </w:rPr>
        <w:t xml:space="preserve">Part I: The Labor Market Singularity</w:t>
      </w:r>
    </w:p>
    <w:p>
      <w:pPr>
        <w:pStyle w:val="Heading2"/>
        <w:spacing w:before="280" w:after="160"/>
      </w:pPr>
      <w:r>
        <w:rPr>
          <w:rFonts w:ascii="Arial" w:cs="Arial" w:eastAsia="Arial" w:hAnsi="Arial"/>
          <w:b/>
          <w:bCs/>
          <w:sz w:val="28"/>
          <w:szCs w:val="28"/>
        </w:rPr>
        <w:t xml:space="preserve">1.1 What jneopallium-Class Systems Actually Displace</w:t>
      </w:r>
    </w:p>
    <w:p>
      <w:pPr>
        <w:spacing w:before="100" w:after="100"/>
        <w:jc w:val="both"/>
      </w:pPr>
      <w:r>
        <w:rPr>
          <w:rFonts w:ascii="Arial" w:cs="Arial" w:eastAsia="Arial" w:hAnsi="Arial"/>
          <w:sz w:val="22"/>
          <w:szCs w:val="22"/>
        </w:rPr>
        <w:t xml:space="preserve">Standard economic analysis of automation distinguishes routine from non-routine tasks, and physical from cognitive work. Previous automation waves (mechanical, digital, early neural networks) each displaced a subset of the labor spectrum while leaving substantial cognitive residuals immune to substitution. This assumption drives mainstream economic forecasts that project job displacement with compensating job creation in 'creative,' 'relational,' and 'complex reasoning' categories.</w:t>
      </w:r>
    </w:p>
    <w:p>
      <w:pPr>
        <w:spacing w:before="100" w:after="100"/>
        <w:jc w:val="both"/>
      </w:pPr>
      <w:r>
        <w:rPr>
          <w:rFonts w:ascii="Arial" w:cs="Arial" w:eastAsia="Arial" w:hAnsi="Arial"/>
          <w:sz w:val="22"/>
          <w:szCs w:val="22"/>
        </w:rPr>
        <w:t xml:space="preserve">jneopallium-class neuromorphic architecture dissolves this refuge. The architecture's distinguishing economic feature is not its raw performance on any single task but its architectural completeness: simultaneous operation of sensory encoding (L0-L1), working memory and episodic buffering (L2), long-term memory with pattern prediction (L3), planning and sequence execution (L4), action selection with inhibitory control (L5), multiple plasticity layers (L6), and autonomous homeostatic regulation (L7). The harm discriminator and consequence modeling subsystem add the ethical-reasoning capacity previously considered exclusively human.</w:t>
      </w:r>
    </w:p>
    <w:p>
      <w:pPr>
        <w:spacing w:before="100" w:after="100"/>
        <w:jc w:val="both"/>
      </w:pPr>
      <w:r>
        <w:rPr>
          <w:rFonts w:ascii="Arial" w:cs="Arial" w:eastAsia="Arial" w:hAnsi="Arial"/>
          <w:sz w:val="22"/>
          <w:szCs w:val="22"/>
        </w:rPr>
        <w:t xml:space="preserve">The economic implication is categorical rather than marginal: this is not a system that automates some tasks within a job category. It is a system that can substitute for the cognitive worker at the role level. The distinction matters enormously for labor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2E405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Critical Distinction</w:t>
            </w:r>
          </w:p>
        </w:tc>
        <w:tc>
          <w:tcPr>
            <w:tcW w:type="dxa" w:w="792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r>
              <w:rPr>
                <w:rFonts w:ascii="Arial" w:cs="Arial" w:eastAsia="Arial" w:hAnsi="Arial"/>
                <w:i/>
                <w:iCs/>
                <w:sz w:val="20"/>
                <w:szCs w:val="20"/>
              </w:rPr>
              <w:t xml:space="preserve">Previous automation: task substitution within roles. jneopallium-class AI: role substitution across categories. The labor market's historical adaptive mechanism — workers migrating to tasks machines cannot yet perform — loses its target.</w:t>
            </w:r>
          </w:p>
        </w:tc>
      </w:tr>
    </w:tbl>
    <w:p>
      <w:pPr>
        <w:pStyle w:val="Heading2"/>
        <w:spacing w:before="280" w:after="160"/>
      </w:pPr>
      <w:r>
        <w:rPr>
          <w:rFonts w:ascii="Arial" w:cs="Arial" w:eastAsia="Arial" w:hAnsi="Arial"/>
          <w:b/>
          <w:bCs/>
          <w:sz w:val="28"/>
          <w:szCs w:val="28"/>
        </w:rPr>
        <w:t xml:space="preserve">1.2 The Consumption Compression Spiral</w:t>
      </w:r>
    </w:p>
    <w:p>
      <w:pPr>
        <w:spacing w:before="100" w:after="100"/>
        <w:jc w:val="both"/>
      </w:pPr>
      <w:r>
        <w:rPr>
          <w:rFonts w:ascii="Arial" w:cs="Arial" w:eastAsia="Arial" w:hAnsi="Arial"/>
          <w:sz w:val="22"/>
          <w:szCs w:val="22"/>
        </w:rPr>
        <w:t xml:space="preserve">Classical economic theory (Keynes, Kalecki) treats labor income as the primary source of aggregate demand, particularly for consumption goods. When automation displaced physical labor historically, productivity gains partially offset demand losses: higher profits reinvested, cheaper goods increasing real purchasing power, new employment categories absorbing displaced workers. This mechanism depends critically on the new system still requiring substantial human inputs.</w:t>
      </w:r>
    </w:p>
    <w:p>
      <w:pPr>
        <w:spacing w:before="100" w:after="100"/>
        <w:jc w:val="both"/>
      </w:pPr>
      <w:r>
        <w:rPr>
          <w:rFonts w:ascii="Arial" w:cs="Arial" w:eastAsia="Arial" w:hAnsi="Arial"/>
          <w:sz w:val="22"/>
          <w:szCs w:val="22"/>
        </w:rPr>
        <w:t xml:space="preserve">The demand arithmetic changes fundamentally with full cognitive automation. Consider the stylized model:</w:t>
      </w:r>
    </w:p>
    <w:p>
      <w:pPr>
        <w:pStyle w:val="ListParagraph"/>
        <w:numPr>
          <w:ilvl w:val="0"/>
          <w:numId w:val="2"/>
        </w:numPr>
        <w:spacing w:before="60" w:after="60"/>
      </w:pPr>
      <w:r>
        <w:rPr>
          <w:rFonts w:ascii="Arial" w:cs="Arial" w:eastAsia="Arial" w:hAnsi="Arial"/>
          <w:sz w:val="22"/>
          <w:szCs w:val="22"/>
        </w:rPr>
        <w:t xml:space="preserve">Cognitive labor represents approximately 60-70% of GDP in advanced economies (OECD data, knowledge economy classification)</w:t>
      </w:r>
    </w:p>
    <w:p>
      <w:pPr>
        <w:pStyle w:val="ListParagraph"/>
        <w:numPr>
          <w:ilvl w:val="0"/>
          <w:numId w:val="2"/>
        </w:numPr>
        <w:spacing w:before="60" w:after="60"/>
      </w:pPr>
      <w:r>
        <w:rPr>
          <w:rFonts w:ascii="Arial" w:cs="Arial" w:eastAsia="Arial" w:hAnsi="Arial"/>
          <w:sz w:val="22"/>
          <w:szCs w:val="22"/>
        </w:rPr>
        <w:t xml:space="preserve">jneopallium-class systems, once deployed at scale, can substitute across this entire category</w:t>
      </w:r>
    </w:p>
    <w:p>
      <w:pPr>
        <w:pStyle w:val="ListParagraph"/>
        <w:numPr>
          <w:ilvl w:val="0"/>
          <w:numId w:val="2"/>
        </w:numPr>
        <w:spacing w:before="60" w:after="60"/>
      </w:pPr>
      <w:r>
        <w:rPr>
          <w:rFonts w:ascii="Arial" w:cs="Arial" w:eastAsia="Arial" w:hAnsi="Arial"/>
          <w:sz w:val="22"/>
          <w:szCs w:val="22"/>
        </w:rPr>
        <w:t xml:space="preserve">Deployment costs are predominantly capital (hardware, energy, maintenance) — not wage labor</w:t>
      </w:r>
    </w:p>
    <w:p>
      <w:pPr>
        <w:pStyle w:val="ListParagraph"/>
        <w:numPr>
          <w:ilvl w:val="0"/>
          <w:numId w:val="2"/>
        </w:numPr>
        <w:spacing w:before="60" w:after="60"/>
      </w:pPr>
      <w:r>
        <w:rPr>
          <w:rFonts w:ascii="Arial" w:cs="Arial" w:eastAsia="Arial" w:hAnsi="Arial"/>
          <w:sz w:val="22"/>
          <w:szCs w:val="22"/>
        </w:rPr>
        <w:t xml:space="preserve">Capital income concentration is significantly higher than labor income concentration (Piketty: top 10% hold ~70% of capital in OECD)</w:t>
      </w:r>
    </w:p>
    <w:p>
      <w:pPr>
        <w:pStyle w:val="ListParagraph"/>
        <w:numPr>
          <w:ilvl w:val="0"/>
          <w:numId w:val="2"/>
        </w:numPr>
        <w:spacing w:before="60" w:after="60"/>
      </w:pPr>
      <w:r>
        <w:rPr>
          <w:rFonts w:ascii="Arial" w:cs="Arial" w:eastAsia="Arial" w:hAnsi="Arial"/>
          <w:sz w:val="22"/>
          <w:szCs w:val="22"/>
        </w:rPr>
        <w:t xml:space="preserve">Higher-income households have substantially higher marginal propensities to save</w:t>
      </w:r>
    </w:p>
    <w:p>
      <w:pPr>
        <w:spacing w:before="100" w:after="100"/>
        <w:jc w:val="both"/>
      </w:pPr>
      <w:r>
        <w:rPr>
          <w:rFonts w:ascii="Arial" w:cs="Arial" w:eastAsia="Arial" w:hAnsi="Arial"/>
          <w:sz w:val="22"/>
          <w:szCs w:val="22"/>
        </w:rPr>
        <w:t xml:space="preserve">The arithmetic is straightforward: replacing labor income with capital income at scale reduces aggregate consumption demand. The productivity gains accrue to capital owners whose consumption is already saturated. The displaced workers whose consumption was marginal (spending nearly all income) face income collapse. The result is deflationary pressure on consumer goods markets precisely as productive capacity is maximized — a structural paradox no previous automation wave produced at this scale.</w:t>
      </w:r>
    </w:p>
    <w:p>
      <w:pPr>
        <w:spacing w:before="100" w:after="100"/>
        <w:jc w:val="both"/>
      </w:pPr>
      <w:r>
        <w:rPr>
          <w:rFonts w:ascii="Arial" w:cs="Arial" w:eastAsia="Arial" w:hAnsi="Arial"/>
          <w:sz w:val="22"/>
          <w:szCs w:val="22"/>
        </w:rPr>
        <w:t xml:space="preserve">This is not speculative. It is the logical extension of a well-understood mechanism (automation → factor income shift → demand composition change) to its natural endpoint when cognitive automation covers the full labor spectrum.</w:t>
      </w:r>
    </w:p>
    <w:p>
      <w:pPr>
        <w:pStyle w:val="Heading2"/>
        <w:spacing w:before="280" w:after="160"/>
      </w:pPr>
      <w:r>
        <w:rPr>
          <w:rFonts w:ascii="Arial" w:cs="Arial" w:eastAsia="Arial" w:hAnsi="Arial"/>
          <w:b/>
          <w:bCs/>
          <w:sz w:val="28"/>
          <w:szCs w:val="28"/>
        </w:rPr>
        <w:t xml:space="preserve">1.3 Three Transition Scenarios</w:t>
      </w:r>
    </w:p>
    <w:p>
      <w:pPr>
        <w:spacing w:before="100" w:after="100"/>
        <w:jc w:val="both"/>
      </w:pPr>
      <w:r>
        <w:rPr>
          <w:rFonts w:ascii="Arial" w:cs="Arial" w:eastAsia="Arial" w:hAnsi="Arial"/>
          <w:sz w:val="22"/>
          <w:szCs w:val="22"/>
        </w:rPr>
        <w:t xml:space="preserve">The timeline and severity of consumption compression depend critically on deployment speed and policy response. We model three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3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3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GDP Impact</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Mechanism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Transition</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 years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to −15% per decade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UBI + automation tax absorbs displacement; coherence economy creates new demand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Turbulent Displacement</w:t>
            </w:r>
          </w:p>
        </w:tc>
        <w:tc>
          <w:tcPr>
            <w:tcW w:type="dxa" w:w="2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5–10 years</w:t>
            </w:r>
          </w:p>
        </w:tc>
        <w:tc>
          <w:tcPr>
            <w:tcW w:type="dxa" w:w="2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 to −35% cumulative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Deployment outruns policy; demand destruction partially offset by cheap goods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Consumption Collapse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 years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to −60% cumulative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deployment, no redistribution; deflationary spiral; financial system stress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Coherence Boom</w:t>
            </w:r>
          </w:p>
        </w:tc>
        <w:tc>
          <w:tcPr>
            <w:tcW w:type="dxa" w:w="2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15–30 years</w:t>
            </w:r>
          </w:p>
        </w:tc>
        <w:tc>
          <w:tcPr>
            <w:tcW w:type="dxa" w:w="2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 to +80% cumulative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CCDR energy + materials enable new consumption categories; jneopallium manages transition</w:t>
            </w:r>
          </w:p>
        </w:tc>
      </w:tr>
    </w:tbl>
    <w:p>
      <w:pPr>
        <w:spacing w:before="100" w:after="100"/>
        <w:jc w:val="both"/>
      </w:pPr>
      <w:r>
        <w:rPr>
          <w:rFonts w:ascii="Arial" w:cs="Arial" w:eastAsia="Arial" w:hAnsi="Arial"/>
          <w:sz w:val="22"/>
          <w:szCs w:val="22"/>
        </w:rPr>
        <w:t xml:space="preserve">The Coherence Boom scenario requires successful execution of both the jneopallium deployment (managing transition) and the CCDR engineering outputs (creating new demand categories). It is the only scenario that is both technically plausible and economically stable. It requires deliberate institutional design, not market self-correction.</w:t>
      </w:r>
    </w:p>
    <w:p>
      <w:pPr>
        <w:pStyle w:val="Heading2"/>
        <w:spacing w:before="280" w:after="160"/>
      </w:pPr>
      <w:r>
        <w:rPr>
          <w:rFonts w:ascii="Arial" w:cs="Arial" w:eastAsia="Arial" w:hAnsi="Arial"/>
          <w:b/>
          <w:bCs/>
          <w:sz w:val="28"/>
          <w:szCs w:val="28"/>
        </w:rPr>
        <w:t xml:space="preserve">1.4 Historical Analogues and Their Limits</w:t>
      </w:r>
    </w:p>
    <w:p>
      <w:pPr>
        <w:spacing w:before="100" w:after="100"/>
        <w:jc w:val="both"/>
      </w:pPr>
      <w:r>
        <w:rPr>
          <w:rFonts w:ascii="Arial" w:cs="Arial" w:eastAsia="Arial" w:hAnsi="Arial"/>
          <w:sz w:val="22"/>
          <w:szCs w:val="22"/>
        </w:rPr>
        <w:t xml:space="preserve">Three historical analogues are frequently invoked in AI displacement discussions: the Agricultural Revolution (~1800 onward), the Industrial Revolution (1760–1840), and the Digital Revolution (1980–2020). Each involved massive displacement with eventual net positive employment effects. Proponents of 'AI will create more jobs than it destroys' rely on this pattern.</w:t>
      </w:r>
    </w:p>
    <w:p>
      <w:pPr>
        <w:spacing w:before="100" w:after="100"/>
        <w:jc w:val="both"/>
      </w:pPr>
      <w:r>
        <w:rPr>
          <w:rFonts w:ascii="Arial" w:cs="Arial" w:eastAsia="Arial" w:hAnsi="Arial"/>
          <w:sz w:val="22"/>
          <w:szCs w:val="22"/>
        </w:rPr>
        <w:t xml:space="preserve">All three analogues share a critical feature absent in the neuromorphic AI case: the new technology created massive demand for a new category of human labor. Agricultural mechanization created factory workers. Factory automation created office workers. Digital automation created knowledge workers. Each transition worked because the new economic paradigm still had high human labor input — just differently configured.</w:t>
      </w:r>
    </w:p>
    <w:p>
      <w:pPr>
        <w:spacing w:before="100" w:after="100"/>
        <w:jc w:val="both"/>
      </w:pPr>
      <w:r>
        <w:rPr>
          <w:rFonts w:ascii="Arial" w:cs="Arial" w:eastAsia="Arial" w:hAnsi="Arial"/>
          <w:sz w:val="22"/>
          <w:szCs w:val="22"/>
        </w:rPr>
        <w:t xml:space="preserve">jneopallium-class neuromorphic AI is the first technology whose economic logic is to minimize human labor input across all categories simultaneously. The analogue is not the agricultural or industrial revolutions. The analogue is the invention of artificial photosynthesis — a technology that doesn't transform energy production but removes the biological constraint on it entirely.</w:t>
      </w:r>
    </w:p>
    <w:p>
      <w:pPr>
        <w:pBdr>
          <w:bottom w:val="single" w:color="2E4057" w:sz="4" w:space="1"/>
        </w:pBdr>
        <w:spacing w:before="200" w:after="200"/>
      </w:pPr>
    </w:p>
    <w:p>
      <w:pPr>
        <w:pStyle w:val="Heading1"/>
        <w:spacing w:before="360" w:after="200"/>
      </w:pPr>
      <w:r>
        <w:rPr>
          <w:rFonts w:ascii="Arial" w:cs="Arial" w:eastAsia="Arial" w:hAnsi="Arial"/>
          <w:b/>
          <w:bCs/>
          <w:sz w:val="36"/>
          <w:szCs w:val="36"/>
        </w:rPr>
        <w:t xml:space="preserve">Part II: Cryptographic Infrastructure Collapse</w:t>
      </w:r>
    </w:p>
    <w:p>
      <w:pPr>
        <w:pStyle w:val="Heading2"/>
        <w:spacing w:before="280" w:after="160"/>
      </w:pPr>
      <w:r>
        <w:rPr>
          <w:rFonts w:ascii="Arial" w:cs="Arial" w:eastAsia="Arial" w:hAnsi="Arial"/>
          <w:b/>
          <w:bCs/>
          <w:sz w:val="28"/>
          <w:szCs w:val="28"/>
        </w:rPr>
        <w:t xml:space="preserve">2.1 The RSA Problem in Economic Context</w:t>
      </w:r>
    </w:p>
    <w:p>
      <w:pPr>
        <w:spacing w:before="100" w:after="100"/>
        <w:jc w:val="both"/>
      </w:pPr>
      <w:r>
        <w:rPr>
          <w:rFonts w:ascii="Arial" w:cs="Arial" w:eastAsia="Arial" w:hAnsi="Arial"/>
          <w:sz w:val="22"/>
          <w:szCs w:val="22"/>
        </w:rPr>
        <w:t xml:space="preserve">RSA (Rivest-Shamir-Adleman) and its elliptic curve variants (ECC, ECDSA, EdDSA) underpin virtually all secure economic infrastructure: TLS/HTTPS (all web commerce), digital signatures (financial transactions, contracts, identity verification), PKI (certificate authority chains securing banking, government, healthcare), cryptocurrency private key infrastructure, and inter-bank settlement systems (SWIFT, ACH, SEPA all use PKI at critical junctions).</w:t>
      </w:r>
    </w:p>
    <w:p>
      <w:pPr>
        <w:spacing w:before="100" w:after="100"/>
        <w:jc w:val="both"/>
      </w:pPr>
      <w:r>
        <w:rPr>
          <w:rFonts w:ascii="Arial" w:cs="Arial" w:eastAsia="Arial" w:hAnsi="Arial"/>
          <w:sz w:val="22"/>
          <w:szCs w:val="22"/>
        </w:rPr>
        <w:t xml:space="preserve">The mathematical basis of RSA security is the computational hardness of factoring large integers: given N=p×q where p and q are large primes, finding p and q from N is computationally infeasible for classical computers at sufficient key lengths. This hardness is not absolute — it is computational. It depends on the best available algorithms running on the best available hardware taking longer than is economically worthwhile.</w:t>
      </w:r>
    </w:p>
    <w:p>
      <w:pPr>
        <w:spacing w:before="100" w:after="100"/>
        <w:jc w:val="both"/>
      </w:pPr>
      <w:r>
        <w:rPr>
          <w:rFonts w:ascii="Arial" w:cs="Arial" w:eastAsia="Arial" w:hAnsi="Arial"/>
          <w:sz w:val="22"/>
          <w:szCs w:val="22"/>
        </w:rPr>
        <w:t xml:space="preserve">Shor's algorithm, running on a sufficiently large fault-tolerant quantum computer, breaks this assumption. The factoring problem that requires exponential classical time requires only polynomial quantum time. RSA-2048 (currently considered secure) would require approximately 4000 logical qubits to break with Shor's algorithm. Current quantum computers have 1000-2000 physical qubits with error rates requiring ~1000 physical qubits per logical qubit — putting capability at roughly 1-2 logical qubits, 3-4 orders of magnitude from the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2E405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Timeline Assessment</w:t>
            </w:r>
          </w:p>
        </w:tc>
        <w:tc>
          <w:tcPr>
            <w:tcW w:type="dxa" w:w="7920"/>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200"/>
            </w:tcMar>
          </w:tcPr>
          <w:p>
            <w:r>
              <w:rPr>
                <w:rFonts w:ascii="Arial" w:cs="Arial" w:eastAsia="Arial" w:hAnsi="Arial"/>
                <w:i/>
                <w:iCs/>
                <w:sz w:val="20"/>
                <w:szCs w:val="20"/>
              </w:rPr>
              <w:t xml:space="preserve">Mainstream cryptographic consensus (NIST PQC standardization timeline, NSA guidance) places RSA vulnerability at 10–20 years for publicly announced quantum hardware. However, this assumes no classified or dark-program breakthroughs, and no hybrid classical-quantum AI acceleration of the cryptanalysis problem.</w:t>
            </w:r>
          </w:p>
        </w:tc>
      </w:tr>
    </w:tbl>
    <w:p>
      <w:pPr>
        <w:pStyle w:val="Heading2"/>
        <w:spacing w:before="280" w:after="160"/>
      </w:pPr>
      <w:r>
        <w:rPr>
          <w:rFonts w:ascii="Arial" w:cs="Arial" w:eastAsia="Arial" w:hAnsi="Arial"/>
          <w:b/>
          <w:bCs/>
          <w:sz w:val="28"/>
          <w:szCs w:val="28"/>
        </w:rPr>
        <w:t xml:space="preserve">2.2 The jneopallium Acceleration Factor</w:t>
      </w:r>
    </w:p>
    <w:p>
      <w:pPr>
        <w:spacing w:before="100" w:after="100"/>
        <w:jc w:val="both"/>
      </w:pPr>
      <w:r>
        <w:rPr>
          <w:rFonts w:ascii="Arial" w:cs="Arial" w:eastAsia="Arial" w:hAnsi="Arial"/>
          <w:sz w:val="22"/>
          <w:szCs w:val="22"/>
        </w:rPr>
        <w:t xml:space="preserve">The intersection of jneopallium-class neuromorphic AI with quantum cryptanalysis creates a threat surface that pure quantum computing timelines systematically underestimate. The relevant mechanism is not that jneopallium solves the quantum error correction problem (though its optimization subsystems are applicable to that problem). The mechanism is hybrid attack optimization.</w:t>
      </w:r>
    </w:p>
    <w:p>
      <w:pPr>
        <w:spacing w:before="100" w:after="100"/>
        <w:jc w:val="both"/>
      </w:pPr>
      <w:r>
        <w:rPr>
          <w:rFonts w:ascii="Arial" w:cs="Arial" w:eastAsia="Arial" w:hAnsi="Arial"/>
          <w:sz w:val="22"/>
          <w:szCs w:val="22"/>
        </w:rPr>
        <w:t xml:space="preserve">Classical preprocessing of RSA targets can dramatically reduce the quantum resources required. Lattice sieving algorithms (GNFS variants), combined with machine learning optimization of sieve parameters, can reduce the effective key strength by 100-200 bits for large key sizes. A jneopallium-class system optimizing these preprocessors in real time, feeding the reduced problem to even modest quantum hardware, could bring the RSA-2048 breakability threshold to hardware already theoretically achievable.</w:t>
      </w:r>
    </w:p>
    <w:p>
      <w:pPr>
        <w:spacing w:before="100" w:after="100"/>
        <w:jc w:val="both"/>
      </w:pPr>
      <w:r>
        <w:rPr>
          <w:rFonts w:ascii="Arial" w:cs="Arial" w:eastAsia="Arial" w:hAnsi="Arial"/>
          <w:sz w:val="22"/>
          <w:szCs w:val="22"/>
        </w:rPr>
        <w:t xml:space="preserve">Furthermore, jneopallium's consequence modeling and planning layers are architecturally suited to the specific problem of cryptographic attack optimization: long-horizon planning (L4), pattern prediction from mathematical structure (L3), and adaptive error correction (L6 plasticity) map directly onto the algorithmic challenges of hybrid quantum-classical factoring.</w:t>
      </w:r>
    </w:p>
    <w:p>
      <w:pPr>
        <w:pStyle w:val="Heading2"/>
        <w:spacing w:before="280" w:after="160"/>
      </w:pPr>
      <w:r>
        <w:rPr>
          <w:rFonts w:ascii="Arial" w:cs="Arial" w:eastAsia="Arial" w:hAnsi="Arial"/>
          <w:b/>
          <w:bCs/>
          <w:sz w:val="28"/>
          <w:szCs w:val="28"/>
        </w:rPr>
        <w:t xml:space="preserve">2.3 Economic Exposure Surface</w:t>
      </w:r>
    </w:p>
    <w:p>
      <w:pPr>
        <w:spacing w:before="100" w:after="100"/>
        <w:jc w:val="both"/>
      </w:pPr>
      <w:r>
        <w:rPr>
          <w:rFonts w:ascii="Arial" w:cs="Arial" w:eastAsia="Arial" w:hAnsi="Arial"/>
          <w:sz w:val="22"/>
          <w:szCs w:val="22"/>
        </w:rPr>
        <w:t xml:space="preserve">The economic damage from RSA infrastructure collapse is not primarily from individual account compromise (significant but recoverable) but from systemic trust failure. The financial system depends on cryptographic trust as infrastructure, not merely as security feature. When the foundation of that trust becomes attackable — even theoretically, even by state actors only — the entire system of digital economic coordination becomes suspect.</w:t>
      </w:r>
    </w:p>
    <w:p>
      <w:pPr>
        <w:pStyle w:val="ListParagraph"/>
        <w:numPr>
          <w:ilvl w:val="0"/>
          <w:numId w:val="2"/>
        </w:numPr>
        <w:spacing w:before="60" w:after="60"/>
      </w:pPr>
      <w:r>
        <w:rPr>
          <w:rFonts w:ascii="Arial" w:cs="Arial" w:eastAsia="Arial" w:hAnsi="Arial"/>
          <w:sz w:val="22"/>
          <w:szCs w:val="22"/>
        </w:rPr>
        <w:t xml:space="preserve">Global digital commerce dependent on TLS: approximately $5.8 trillion annually (2025 estimates)</w:t>
      </w:r>
    </w:p>
    <w:p>
      <w:pPr>
        <w:pStyle w:val="ListParagraph"/>
        <w:numPr>
          <w:ilvl w:val="0"/>
          <w:numId w:val="2"/>
        </w:numPr>
        <w:spacing w:before="60" w:after="60"/>
      </w:pPr>
      <w:r>
        <w:rPr>
          <w:rFonts w:ascii="Arial" w:cs="Arial" w:eastAsia="Arial" w:hAnsi="Arial"/>
          <w:sz w:val="22"/>
          <w:szCs w:val="22"/>
        </w:rPr>
        <w:t xml:space="preserve">Assets held in RSA-secured custodial systems: estimated $80-120 trillion globally</w:t>
      </w:r>
    </w:p>
    <w:p>
      <w:pPr>
        <w:pStyle w:val="ListParagraph"/>
        <w:numPr>
          <w:ilvl w:val="0"/>
          <w:numId w:val="2"/>
        </w:numPr>
        <w:spacing w:before="60" w:after="60"/>
      </w:pPr>
      <w:r>
        <w:rPr>
          <w:rFonts w:ascii="Arial" w:cs="Arial" w:eastAsia="Arial" w:hAnsi="Arial"/>
          <w:sz w:val="22"/>
          <w:szCs w:val="22"/>
        </w:rPr>
        <w:t xml:space="preserve">Cryptocurrency market cap with RSA-equivalent vulnerabilities (ECDSA): approximately $2-3 trillion at current valuations</w:t>
      </w:r>
    </w:p>
    <w:p>
      <w:pPr>
        <w:pStyle w:val="ListParagraph"/>
        <w:numPr>
          <w:ilvl w:val="0"/>
          <w:numId w:val="2"/>
        </w:numPr>
        <w:spacing w:before="60" w:after="60"/>
      </w:pPr>
      <w:r>
        <w:rPr>
          <w:rFonts w:ascii="Arial" w:cs="Arial" w:eastAsia="Arial" w:hAnsi="Arial"/>
          <w:sz w:val="22"/>
          <w:szCs w:val="22"/>
        </w:rPr>
        <w:t xml:space="preserve">Contract enforcement, identity, and notarial systems globally: estimated $10-20 trillion in annual transaction value</w:t>
      </w:r>
    </w:p>
    <w:p>
      <w:pPr>
        <w:pStyle w:val="ListParagraph"/>
        <w:numPr>
          <w:ilvl w:val="0"/>
          <w:numId w:val="2"/>
        </w:numPr>
        <w:spacing w:before="60" w:after="60"/>
      </w:pPr>
      <w:r>
        <w:rPr>
          <w:rFonts w:ascii="Arial" w:cs="Arial" w:eastAsia="Arial" w:hAnsi="Arial"/>
          <w:sz w:val="22"/>
          <w:szCs w:val="22"/>
        </w:rPr>
        <w:t xml:space="preserve">Inter-bank settlement systems: $1-5 trillion daily in settlement value in SWIFT alone</w:t>
      </w:r>
    </w:p>
    <w:p>
      <w:pPr>
        <w:spacing w:before="100" w:after="100"/>
        <w:jc w:val="both"/>
      </w:pPr>
      <w:r>
        <w:rPr>
          <w:rFonts w:ascii="Arial" w:cs="Arial" w:eastAsia="Arial" w:hAnsi="Arial"/>
          <w:sz w:val="22"/>
          <w:szCs w:val="22"/>
        </w:rPr>
        <w:t xml:space="preserve">The economic scenario is not the destruction of these values but their temporary freezing during cryptographic infrastructure replacement. Even a 6-month period of uncertainty about digital signature integrity would produce financial market disruption comparable to the 2008 crisis — with the additional feature that the problem cannot be resolved by central bank liquidity injection.</w:t>
      </w:r>
    </w:p>
    <w:p>
      <w:pPr>
        <w:pStyle w:val="Heading2"/>
        <w:spacing w:before="280" w:after="160"/>
      </w:pPr>
      <w:r>
        <w:rPr>
          <w:rFonts w:ascii="Arial" w:cs="Arial" w:eastAsia="Arial" w:hAnsi="Arial"/>
          <w:b/>
          <w:bCs/>
          <w:sz w:val="28"/>
          <w:szCs w:val="28"/>
        </w:rPr>
        <w:t xml:space="preserve">2.4 CCDR-Derived Cryptographic Alternatives</w:t>
      </w:r>
    </w:p>
    <w:p>
      <w:pPr>
        <w:spacing w:before="100" w:after="100"/>
        <w:jc w:val="both"/>
      </w:pPr>
      <w:r>
        <w:rPr>
          <w:rFonts w:ascii="Arial" w:cs="Arial" w:eastAsia="Arial" w:hAnsi="Arial"/>
          <w:sz w:val="22"/>
          <w:szCs w:val="22"/>
        </w:rPr>
        <w:t xml:space="preserve">CCDR's optical phonon sector and dark-sector qubit substrate provide a physically distinct cryptographic pathway. The relevant property is that dark-sector qubits — if realizable as per CCDR's bulk gravitational coupling predictions — would be immune to computational attack by any system operating in the Standard Model acoustic sector. An adversary with arbitrarily powerful classical or quantum computation could not attack a cryptographic system whose security derives from bulk-sector entanglement.</w:t>
      </w:r>
    </w:p>
    <w:p>
      <w:pPr>
        <w:spacing w:before="100" w:after="100"/>
        <w:jc w:val="both"/>
      </w:pPr>
      <w:r>
        <w:rPr>
          <w:rFonts w:ascii="Arial" w:cs="Arial" w:eastAsia="Arial" w:hAnsi="Arial"/>
          <w:sz w:val="22"/>
          <w:szCs w:val="22"/>
        </w:rPr>
        <w:t xml:space="preserve">This is not post-quantum cryptography in the conventional sense (lattice-based, hash-based, code-based algorithms that are believed to resist quantum attacks). It is cryptography with a fundamentally different physical basis — one whose security derives from the same physics that makes dark matter invisible to Standard Model detectors.</w:t>
      </w:r>
    </w:p>
    <w:p>
      <w:pPr>
        <w:spacing w:before="100" w:after="100"/>
        <w:jc w:val="both"/>
      </w:pPr>
      <w:r>
        <w:rPr>
          <w:rFonts w:ascii="Arial" w:cs="Arial" w:eastAsia="Arial" w:hAnsi="Arial"/>
          <w:sz w:val="22"/>
          <w:szCs w:val="22"/>
        </w:rPr>
        <w:t xml:space="preserve">The economic value of this transition, if achievable, is enormous: it would allow the financial system to migrate away from RSA vulnerability without the 10-20 year replacement cycle that NIST's post-quantum standardization envisions. The Pearl Street moment for dark-sector cryptography — the first demonstration of a commercially viable dark-sector qubit maintaining coherence for one second at room temperature — would trigger an immediate capital reallocation of historic proportions.</w:t>
      </w:r>
    </w:p>
    <w:p>
      <w:pPr>
        <w:pBdr>
          <w:bottom w:val="single" w:color="2E4057" w:sz="4" w:space="1"/>
        </w:pBdr>
        <w:spacing w:before="200" w:after="200"/>
      </w:pPr>
    </w:p>
    <w:p>
      <w:pPr>
        <w:pStyle w:val="Heading1"/>
        <w:spacing w:before="360" w:after="200"/>
      </w:pPr>
      <w:r>
        <w:rPr>
          <w:rFonts w:ascii="Arial" w:cs="Arial" w:eastAsia="Arial" w:hAnsi="Arial"/>
          <w:b/>
          <w:bCs/>
          <w:sz w:val="36"/>
          <w:szCs w:val="36"/>
        </w:rPr>
        <w:t xml:space="preserve">Part III: Energy and Materials — The CCDR Engineering Dividend</w:t>
      </w:r>
    </w:p>
    <w:p>
      <w:pPr>
        <w:pStyle w:val="Heading2"/>
        <w:spacing w:before="280" w:after="160"/>
      </w:pPr>
      <w:r>
        <w:rPr>
          <w:rFonts w:ascii="Arial" w:cs="Arial" w:eastAsia="Arial" w:hAnsi="Arial"/>
          <w:b/>
          <w:bCs/>
          <w:sz w:val="28"/>
          <w:szCs w:val="28"/>
        </w:rPr>
        <w:t xml:space="preserve">3.1 Vacuum Energy as Economic Variable</w:t>
      </w:r>
    </w:p>
    <w:p>
      <w:pPr>
        <w:spacing w:before="100" w:after="100"/>
        <w:jc w:val="both"/>
      </w:pPr>
      <w:r>
        <w:rPr>
          <w:rFonts w:ascii="Arial" w:cs="Arial" w:eastAsia="Arial" w:hAnsi="Arial"/>
          <w:sz w:val="22"/>
          <w:szCs w:val="22"/>
        </w:rPr>
        <w:t xml:space="preserve">CCDR's treatment of dark energy as the zero-point energy of the spacetime time crystal (ρ_vac ∝ H² running with Hubble parameter) implies that the vacuum energy density is not a cosmological constant but a thermodynamically accessible quantity whose local gradient can in principle be exploited. The de Sitter radiation analogue (T_dS = ħH/2πkc) suggests a radiation bath pervading all space at T ≈ 2.3 × 10⁻³⁰ K — far below any accessible engineering threshold.</w:t>
      </w:r>
    </w:p>
    <w:p>
      <w:pPr>
        <w:spacing w:before="100" w:after="100"/>
        <w:jc w:val="both"/>
      </w:pPr>
      <w:r>
        <w:rPr>
          <w:rFonts w:ascii="Arial" w:cs="Arial" w:eastAsia="Arial" w:hAnsi="Arial"/>
          <w:sz w:val="22"/>
          <w:szCs w:val="22"/>
        </w:rPr>
        <w:t xml:space="preserve">However, the engineering relevance of CCDR is not direct vacuum energy extraction (which remains far beyond current capability) but the implications for material design. If spacetime has crystallographic structure at the BAO scale, then there exist phononic modes of the vacuum itself that can be coupled to material lattice vibrations. This is the CCDR mechanism for room-temperature superconductivity: engineering material crystal symmetries to resonantly couple to the vacuum's optical phonon sector.</w:t>
      </w:r>
    </w:p>
    <w:p>
      <w:pPr>
        <w:spacing w:before="100" w:after="100"/>
        <w:jc w:val="both"/>
      </w:pPr>
      <w:r>
        <w:rPr>
          <w:rFonts w:ascii="Arial" w:cs="Arial" w:eastAsia="Arial" w:hAnsi="Arial"/>
          <w:sz w:val="22"/>
          <w:szCs w:val="22"/>
        </w:rPr>
        <w:t xml:space="preserve">The economic consequences of room-temperature superconductivity alone — even without dark-sector cryptography or vacuum energy extraction — are transformative at the scale of the global energy infrastructure.</w:t>
      </w:r>
    </w:p>
    <w:p>
      <w:pPr>
        <w:pStyle w:val="Heading2"/>
        <w:spacing w:before="280" w:after="160"/>
      </w:pPr>
      <w:r>
        <w:rPr>
          <w:rFonts w:ascii="Arial" w:cs="Arial" w:eastAsia="Arial" w:hAnsi="Arial"/>
          <w:b/>
          <w:bCs/>
          <w:sz w:val="28"/>
          <w:szCs w:val="28"/>
        </w:rPr>
        <w:t xml:space="preserve">3.2 Energy Sector Disruption Cascade</w:t>
      </w:r>
    </w:p>
    <w:p>
      <w:pPr>
        <w:spacing w:before="100" w:after="100"/>
        <w:jc w:val="both"/>
      </w:pPr>
      <w:r>
        <w:rPr>
          <w:rFonts w:ascii="Arial" w:cs="Arial" w:eastAsia="Arial" w:hAnsi="Arial"/>
          <w:sz w:val="22"/>
          <w:szCs w:val="22"/>
        </w:rPr>
        <w:t xml:space="preserve">Global energy transmission loses approximately 8-15% of generated electricity to resistance in transmission lines (International Energy Agency). At $6 trillion annual global electricity market value, this represents $480-900 billion in annual waste. Room-temperature superconducting transmission eliminates this loss entirely.</w:t>
      </w:r>
    </w:p>
    <w:p>
      <w:pPr>
        <w:spacing w:before="100" w:after="100"/>
        <w:jc w:val="both"/>
      </w:pPr>
      <w:r>
        <w:rPr>
          <w:rFonts w:ascii="Arial" w:cs="Arial" w:eastAsia="Arial" w:hAnsi="Arial"/>
          <w:sz w:val="22"/>
          <w:szCs w:val="22"/>
        </w:rPr>
        <w:t xml:space="preserve">The cascading effects extend far beyond transmission efficiency:</w:t>
      </w:r>
    </w:p>
    <w:p>
      <w:pPr>
        <w:pStyle w:val="ListParagraph"/>
        <w:numPr>
          <w:ilvl w:val="0"/>
          <w:numId w:val="2"/>
        </w:numPr>
        <w:spacing w:before="60" w:after="60"/>
      </w:pPr>
      <w:r>
        <w:rPr>
          <w:rFonts w:ascii="Arial" w:cs="Arial" w:eastAsia="Arial" w:hAnsi="Arial"/>
          <w:sz w:val="22"/>
          <w:szCs w:val="22"/>
        </w:rPr>
        <w:t xml:space="preserve">Fusion energy: The primary engineering bottleneck for commercially viable fusion is magnet technology. Room-temperature superconducting magnets would reduce fusion plant capital costs by an estimated 40-60%, making fusion economically competitive with natural gas within 5-10 years of the materials breakthrough</w:t>
      </w:r>
    </w:p>
    <w:p>
      <w:pPr>
        <w:pStyle w:val="ListParagraph"/>
        <w:numPr>
          <w:ilvl w:val="0"/>
          <w:numId w:val="2"/>
        </w:numPr>
        <w:spacing w:before="60" w:after="60"/>
      </w:pPr>
      <w:r>
        <w:rPr>
          <w:rFonts w:ascii="Arial" w:cs="Arial" w:eastAsia="Arial" w:hAnsi="Arial"/>
          <w:sz w:val="22"/>
          <w:szCs w:val="22"/>
        </w:rPr>
        <w:t xml:space="preserve">Electric motors: 45% of global electricity consumption drives motors. Superconducting motors eliminate rotor resistance losses, increasing efficiency by 15-25% across this entire sector</w:t>
      </w:r>
    </w:p>
    <w:p>
      <w:pPr>
        <w:pStyle w:val="ListParagraph"/>
        <w:numPr>
          <w:ilvl w:val="0"/>
          <w:numId w:val="2"/>
        </w:numPr>
        <w:spacing w:before="60" w:after="60"/>
      </w:pPr>
      <w:r>
        <w:rPr>
          <w:rFonts w:ascii="Arial" w:cs="Arial" w:eastAsia="Arial" w:hAnsi="Arial"/>
          <w:sz w:val="22"/>
          <w:szCs w:val="22"/>
        </w:rPr>
        <w:t xml:space="preserve">Magnetic levitation transport: Maglev becomes economically viable for freight at intercontinental scale with room-temperature superconducting track</w:t>
      </w:r>
    </w:p>
    <w:p>
      <w:pPr>
        <w:pStyle w:val="ListParagraph"/>
        <w:numPr>
          <w:ilvl w:val="0"/>
          <w:numId w:val="2"/>
        </w:numPr>
        <w:spacing w:before="60" w:after="60"/>
      </w:pPr>
      <w:r>
        <w:rPr>
          <w:rFonts w:ascii="Arial" w:cs="Arial" w:eastAsia="Arial" w:hAnsi="Arial"/>
          <w:sz w:val="22"/>
          <w:szCs w:val="22"/>
        </w:rPr>
        <w:t xml:space="preserve">Medical imaging: MRI magnet costs represent 40-60% of total MRI system cost; room-temperature superconducting magnets would democratize access to MRI globally</w:t>
      </w:r>
    </w:p>
    <w:p>
      <w:pPr>
        <w:pStyle w:val="ListParagraph"/>
        <w:numPr>
          <w:ilvl w:val="0"/>
          <w:numId w:val="2"/>
        </w:numPr>
        <w:spacing w:before="60" w:after="60"/>
      </w:pPr>
      <w:r>
        <w:rPr>
          <w:rFonts w:ascii="Arial" w:cs="Arial" w:eastAsia="Arial" w:hAnsi="Arial"/>
          <w:sz w:val="22"/>
          <w:szCs w:val="22"/>
        </w:rPr>
        <w:t xml:space="preserve">Data centers: Approximately 200-250 TWh per year consumed by global data centers; superconducting interconnects and phononic cooling from CCDR thermal management could reduce this by 60-80%</w:t>
      </w:r>
    </w:p>
    <w:p>
      <w:pPr>
        <w:pStyle w:val="Heading2"/>
        <w:spacing w:before="280" w:after="160"/>
      </w:pPr>
      <w:r>
        <w:rPr>
          <w:rFonts w:ascii="Arial" w:cs="Arial" w:eastAsia="Arial" w:hAnsi="Arial"/>
          <w:b/>
          <w:bCs/>
          <w:sz w:val="28"/>
          <w:szCs w:val="28"/>
        </w:rPr>
        <w:t xml:space="preserve">3.3 Phononic Computing: The Post-Silicon Economy</w:t>
      </w:r>
    </w:p>
    <w:p>
      <w:pPr>
        <w:spacing w:before="100" w:after="100"/>
        <w:jc w:val="both"/>
      </w:pPr>
      <w:r>
        <w:rPr>
          <w:rFonts w:ascii="Arial" w:cs="Arial" w:eastAsia="Arial" w:hAnsi="Arial"/>
          <w:sz w:val="22"/>
          <w:szCs w:val="22"/>
        </w:rPr>
        <w:t xml:space="preserve">CCDR's crystal framework predicts that phonons — quantized lattice vibrations — can carry and process information in the optical phonon sector with properties inaccessible to electrons. Specifically, optical phonons in CCDR-engineered crystals propagate at speeds intermediate between acoustic phonons and electrons, dissipate heat coherently rather than randomly (enabling directed thermal management), and can be confined to topological defects in the crystal lattice.</w:t>
      </w:r>
    </w:p>
    <w:p>
      <w:pPr>
        <w:spacing w:before="100" w:after="100"/>
        <w:jc w:val="both"/>
      </w:pPr>
      <w:r>
        <w:rPr>
          <w:rFonts w:ascii="Arial" w:cs="Arial" w:eastAsia="Arial" w:hAnsi="Arial"/>
          <w:sz w:val="22"/>
          <w:szCs w:val="22"/>
        </w:rPr>
        <w:t xml:space="preserve">The economic implication of phononic computation is not merely faster computers. It is a different cost structure for computation. Silicon-based electronics requires:</w:t>
      </w:r>
    </w:p>
    <w:p>
      <w:pPr>
        <w:pStyle w:val="ListParagraph"/>
        <w:numPr>
          <w:ilvl w:val="0"/>
          <w:numId w:val="2"/>
        </w:numPr>
        <w:spacing w:before="60" w:after="60"/>
      </w:pPr>
      <w:r>
        <w:rPr>
          <w:rFonts w:ascii="Arial" w:cs="Arial" w:eastAsia="Arial" w:hAnsi="Arial"/>
          <w:sz w:val="22"/>
          <w:szCs w:val="22"/>
        </w:rPr>
        <w:t xml:space="preserve">Precision lithography at nanometer scale (ASML EUV machines: $380 million each, 3-5 year lead time)</w:t>
      </w:r>
    </w:p>
    <w:p>
      <w:pPr>
        <w:pStyle w:val="ListParagraph"/>
        <w:numPr>
          <w:ilvl w:val="0"/>
          <w:numId w:val="2"/>
        </w:numPr>
        <w:spacing w:before="60" w:after="60"/>
      </w:pPr>
      <w:r>
        <w:rPr>
          <w:rFonts w:ascii="Arial" w:cs="Arial" w:eastAsia="Arial" w:hAnsi="Arial"/>
          <w:sz w:val="22"/>
          <w:szCs w:val="22"/>
        </w:rPr>
        <w:t xml:space="preserve">Ultra-pure silicon manufacturing (defect densities below 1 per cm²)</w:t>
      </w:r>
    </w:p>
    <w:p>
      <w:pPr>
        <w:pStyle w:val="ListParagraph"/>
        <w:numPr>
          <w:ilvl w:val="0"/>
          <w:numId w:val="2"/>
        </w:numPr>
        <w:spacing w:before="60" w:after="60"/>
      </w:pPr>
      <w:r>
        <w:rPr>
          <w:rFonts w:ascii="Arial" w:cs="Arial" w:eastAsia="Arial" w:hAnsi="Arial"/>
          <w:sz w:val="22"/>
          <w:szCs w:val="22"/>
        </w:rPr>
        <w:t xml:space="preserve">Active cooling systems consuming 40-50% of total data center power</w:t>
      </w:r>
    </w:p>
    <w:p>
      <w:pPr>
        <w:pStyle w:val="ListParagraph"/>
        <w:numPr>
          <w:ilvl w:val="0"/>
          <w:numId w:val="2"/>
        </w:numPr>
        <w:spacing w:before="60" w:after="60"/>
      </w:pPr>
      <w:r>
        <w:rPr>
          <w:rFonts w:ascii="Arial" w:cs="Arial" w:eastAsia="Arial" w:hAnsi="Arial"/>
          <w:sz w:val="22"/>
          <w:szCs w:val="22"/>
        </w:rPr>
        <w:t xml:space="preserve">Massive capital concentration (TSMC, Samsung, Intel — oligopoly with $100B+ capex requirements)</w:t>
      </w:r>
    </w:p>
    <w:p>
      <w:pPr>
        <w:spacing w:before="100" w:after="100"/>
        <w:jc w:val="both"/>
      </w:pPr>
      <w:r>
        <w:rPr>
          <w:rFonts w:ascii="Arial" w:cs="Arial" w:eastAsia="Arial" w:hAnsi="Arial"/>
          <w:sz w:val="22"/>
          <w:szCs w:val="22"/>
        </w:rPr>
        <w:t xml:space="preserve">Phononic computing in CCDR-engineered crystal substrates could shift computation toward materials that are crystallographically designable without EUV lithography, self-cooling via coherent phonon management, manufacturable with capital requirements orders of magnitude lower than silicon fabs, and deployable on the FPGA/Raspberry Pi distributed architecture that jneopallium already uses.</w:t>
      </w:r>
    </w:p>
    <w:p>
      <w:pPr>
        <w:spacing w:before="100" w:after="100"/>
        <w:jc w:val="both"/>
      </w:pPr>
      <w:r>
        <w:rPr>
          <w:rFonts w:ascii="Arial" w:cs="Arial" w:eastAsia="Arial" w:hAnsi="Arial"/>
          <w:sz w:val="22"/>
          <w:szCs w:val="22"/>
        </w:rPr>
        <w:t xml:space="preserve">The economic consequence is radical decentralization of computational capacity — directly undermining the capital concentration that currently makes AI a tool of large institutions rather than small actors or individuals.</w:t>
      </w:r>
    </w:p>
    <w:p>
      <w:pPr>
        <w:pBdr>
          <w:bottom w:val="single" w:color="2E4057" w:sz="4" w:space="1"/>
        </w:pBdr>
        <w:spacing w:before="200" w:after="200"/>
      </w:pPr>
    </w:p>
    <w:p>
      <w:pPr>
        <w:pStyle w:val="Heading1"/>
        <w:spacing w:before="360" w:after="200"/>
      </w:pPr>
      <w:r>
        <w:rPr>
          <w:rFonts w:ascii="Arial" w:cs="Arial" w:eastAsia="Arial" w:hAnsi="Arial"/>
          <w:b/>
          <w:bCs/>
          <w:sz w:val="36"/>
          <w:szCs w:val="36"/>
        </w:rPr>
        <w:t xml:space="preserve">Part IV: Capital Structure Inversion — Coherence as the Primary Commodity</w:t>
      </w:r>
    </w:p>
    <w:p>
      <w:pPr>
        <w:pStyle w:val="Heading2"/>
        <w:spacing w:before="280" w:after="160"/>
      </w:pPr>
      <w:r>
        <w:rPr>
          <w:rFonts w:ascii="Arial" w:cs="Arial" w:eastAsia="Arial" w:hAnsi="Arial"/>
          <w:b/>
          <w:bCs/>
          <w:sz w:val="28"/>
          <w:szCs w:val="28"/>
        </w:rPr>
        <w:t xml:space="preserve">4.1 What Coherence Means Economically</w:t>
      </w:r>
    </w:p>
    <w:p>
      <w:pPr>
        <w:spacing w:before="100" w:after="100"/>
        <w:jc w:val="both"/>
      </w:pPr>
      <w:r>
        <w:rPr>
          <w:rFonts w:ascii="Arial" w:cs="Arial" w:eastAsia="Arial" w:hAnsi="Arial"/>
          <w:sz w:val="22"/>
          <w:szCs w:val="22"/>
        </w:rPr>
        <w:t xml:space="preserve">In CCDR framework, coherence refers to the degree of phase-organized, non-random order in a physical or informational system — whether quantum coherence in a computing substrate, phononic coherence in a crystal lattice, or informational coherence in a neural architecture. The economic relevance is that coherence is productive (it is what makes quantum computers more powerful than classical, what makes superconductors better conductors, what makes jneopallium more efficient than transformer architectures) and it is scarce — maintaining coherence requires specific conditions, specific materials, and specific design.</w:t>
      </w:r>
    </w:p>
    <w:p>
      <w:pPr>
        <w:spacing w:before="100" w:after="100"/>
        <w:jc w:val="both"/>
      </w:pPr>
      <w:r>
        <w:rPr>
          <w:rFonts w:ascii="Arial" w:cs="Arial" w:eastAsia="Arial" w:hAnsi="Arial"/>
          <w:sz w:val="22"/>
          <w:szCs w:val="22"/>
        </w:rPr>
        <w:t xml:space="preserve">The transition from energy-as-primary-commodity to coherence-as-primary-commodity represents a qualitative shift in what economic actors are ultimately competing for. In the industrial economy, the scarce input was energy (coal, oil). In the knowledge economy, the scarce input was organized information (patents, software, data). In the coherence economy, the scarce input is organized physical order — the specific crystallographic, quantum, or informational arrangements that allow systems to operate without dissipative loss.</w:t>
      </w:r>
    </w:p>
    <w:p>
      <w:pPr>
        <w:pStyle w:val="Heading2"/>
        <w:spacing w:before="280" w:after="160"/>
      </w:pPr>
      <w:r>
        <w:rPr>
          <w:rFonts w:ascii="Arial" w:cs="Arial" w:eastAsia="Arial" w:hAnsi="Arial"/>
          <w:b/>
          <w:bCs/>
          <w:sz w:val="28"/>
          <w:szCs w:val="28"/>
        </w:rPr>
        <w:t xml:space="preserve">4.2 The Coherence Economy's Property Structure</w:t>
      </w:r>
    </w:p>
    <w:p>
      <w:pPr>
        <w:spacing w:before="100" w:after="100"/>
        <w:jc w:val="both"/>
      </w:pPr>
      <w:r>
        <w:rPr>
          <w:rFonts w:ascii="Arial" w:cs="Arial" w:eastAsia="Arial" w:hAnsi="Arial"/>
          <w:sz w:val="22"/>
          <w:szCs w:val="22"/>
        </w:rPr>
        <w:t xml:space="preserve">The economic properties of coherence differ from both energy and information in ways that determine its political economy:</w:t>
      </w:r>
    </w:p>
    <w:p>
      <w:pPr>
        <w:pStyle w:val="ListParagraph"/>
        <w:numPr>
          <w:ilvl w:val="0"/>
          <w:numId w:val="2"/>
        </w:numPr>
        <w:spacing w:before="60" w:after="60"/>
      </w:pPr>
      <w:r>
        <w:rPr>
          <w:rFonts w:ascii="Arial" w:cs="Arial" w:eastAsia="Arial" w:hAnsi="Arial"/>
          <w:sz w:val="22"/>
          <w:szCs w:val="22"/>
        </w:rPr>
        <w:t xml:space="preserve">Non-rival (partially): Unlike energy, using a coherent crystal substrate to compute does not consume the substrate. Like software, the marginal cost of replication is near zero once the design exists.</w:t>
      </w:r>
    </w:p>
    <w:p>
      <w:pPr>
        <w:pStyle w:val="ListParagraph"/>
        <w:numPr>
          <w:ilvl w:val="0"/>
          <w:numId w:val="2"/>
        </w:numPr>
        <w:spacing w:before="60" w:after="60"/>
      </w:pPr>
      <w:r>
        <w:rPr>
          <w:rFonts w:ascii="Arial" w:cs="Arial" w:eastAsia="Arial" w:hAnsi="Arial"/>
          <w:sz w:val="22"/>
          <w:szCs w:val="22"/>
        </w:rPr>
        <w:t xml:space="preserve">But also excludable (strongly): Unlike software, which can be copied indefinitely, maintaining coherence requires physical substrates with specific properties. These cannot be trivially replicated without the manufacturing capability.</w:t>
      </w:r>
    </w:p>
    <w:p>
      <w:pPr>
        <w:pStyle w:val="ListParagraph"/>
        <w:numPr>
          <w:ilvl w:val="0"/>
          <w:numId w:val="2"/>
        </w:numPr>
        <w:spacing w:before="60" w:after="60"/>
      </w:pPr>
      <w:r>
        <w:rPr>
          <w:rFonts w:ascii="Arial" w:cs="Arial" w:eastAsia="Arial" w:hAnsi="Arial"/>
          <w:sz w:val="22"/>
          <w:szCs w:val="22"/>
        </w:rPr>
        <w:t xml:space="preserve">Complementary with AI: Coherent computing substrates are exactly what jneopallium-class neuromorphic AI requires for efficient deployment. This creates a virtuous cycle for early adopters and a barrier for latecomers.</w:t>
      </w:r>
    </w:p>
    <w:p>
      <w:pPr>
        <w:pStyle w:val="ListParagraph"/>
        <w:numPr>
          <w:ilvl w:val="0"/>
          <w:numId w:val="2"/>
        </w:numPr>
        <w:spacing w:before="60" w:after="60"/>
      </w:pPr>
      <w:r>
        <w:rPr>
          <w:rFonts w:ascii="Arial" w:cs="Arial" w:eastAsia="Arial" w:hAnsi="Arial"/>
          <w:sz w:val="22"/>
          <w:szCs w:val="22"/>
        </w:rPr>
        <w:t xml:space="preserve">Geographically distributed: Unlike oil or rare earths, the vacuum phonon sector is everywhere. CCDR-engineered crystal manufacturing requires skill and design, not geographic resource control. This is potentially democratizing.</w:t>
      </w:r>
    </w:p>
    <w:p>
      <w:pPr>
        <w:spacing w:before="100" w:after="100"/>
        <w:jc w:val="both"/>
      </w:pPr>
      <w:r>
        <w:rPr>
          <w:rFonts w:ascii="Arial" w:cs="Arial" w:eastAsia="Arial" w:hAnsi="Arial"/>
          <w:sz w:val="22"/>
          <w:szCs w:val="22"/>
        </w:rPr>
        <w:t xml:space="preserve">The political economy implication: the coherence economy does not automatically produce the same winner-take-all dynamics as the digital economy (where network effects and zero marginal cost create monopoly). But it does produce new forms of concentration around manufacturing know-how and crystal design IP. The race to own coherence manufacturing capacity — not computational power or data — becomes the primary economic competition of the mid-21st century.</w:t>
      </w:r>
    </w:p>
    <w:p>
      <w:pPr>
        <w:pStyle w:val="Heading2"/>
        <w:spacing w:before="280" w:after="160"/>
      </w:pPr>
      <w:r>
        <w:rPr>
          <w:rFonts w:ascii="Arial" w:cs="Arial" w:eastAsia="Arial" w:hAnsi="Arial"/>
          <w:b/>
          <w:bCs/>
          <w:sz w:val="28"/>
          <w:szCs w:val="28"/>
        </w:rPr>
        <w:t xml:space="preserve">4.3 Currency, Debt, and the Monetary System</w:t>
      </w:r>
    </w:p>
    <w:p>
      <w:pPr>
        <w:spacing w:before="100" w:after="100"/>
        <w:jc w:val="both"/>
      </w:pPr>
      <w:r>
        <w:rPr>
          <w:rFonts w:ascii="Arial" w:cs="Arial" w:eastAsia="Arial" w:hAnsi="Arial"/>
          <w:sz w:val="22"/>
          <w:szCs w:val="22"/>
        </w:rPr>
        <w:t xml:space="preserve">The intersection of quantum cryptographic vulnerability (Part II) and autonomous AI economic agents (Part I) creates a fundamental challenge for monetary systems. Modern money is ultimately a system of coordinated trust maintained through cryptographically-secured records and state enforcement. Both pillars are under simultaneous pressure.</w:t>
      </w:r>
    </w:p>
    <w:p>
      <w:pPr>
        <w:spacing w:before="100" w:after="100"/>
        <w:jc w:val="both"/>
      </w:pPr>
      <w:r>
        <w:rPr>
          <w:rFonts w:ascii="Arial" w:cs="Arial" w:eastAsia="Arial" w:hAnsi="Arial"/>
          <w:sz w:val="22"/>
          <w:szCs w:val="22"/>
        </w:rPr>
        <w:t xml:space="preserve">If RSA infrastructure becomes vulnerable before replacement cryptography is deployed, the integrity of digital monetary records becomes contestable. Central banks have not publicly modeled this scenario. The Federal Reserve's transition to post-quantum cryptography is estimated at 10-15 years. The NIST PQC standards published in 2024 provide the mathematical framework, but migration of legacy banking infrastructure is measured in decades, not years.</w:t>
      </w:r>
    </w:p>
    <w:p>
      <w:pPr>
        <w:spacing w:before="100" w:after="100"/>
        <w:jc w:val="both"/>
      </w:pPr>
      <w:r>
        <w:rPr>
          <w:rFonts w:ascii="Arial" w:cs="Arial" w:eastAsia="Arial" w:hAnsi="Arial"/>
          <w:sz w:val="22"/>
          <w:szCs w:val="22"/>
        </w:rPr>
        <w:t xml:space="preserve">A plausible monetary crisis scenario: a state or non-state actor demonstrates RSA key recovery on a live financial institution's private key infrastructure. This does not require breaking all RSA — only demonstrating the capability. The confidence effect on digital money systems would be immediate and severe, regardless of whether actual theft occurred.</w:t>
      </w:r>
    </w:p>
    <w:p>
      <w:pPr>
        <w:spacing w:before="100" w:after="100"/>
        <w:jc w:val="both"/>
      </w:pPr>
      <w:r>
        <w:rPr>
          <w:rFonts w:ascii="Arial" w:cs="Arial" w:eastAsia="Arial" w:hAnsi="Arial"/>
          <w:sz w:val="22"/>
          <w:szCs w:val="22"/>
        </w:rPr>
        <w:t xml:space="preserve">In this scenario, CCDR dark-sector cryptography, if available, represents not merely a technical upgrade but an emergency monetary infrastructure option. Central banks with access to dark-sector cryptographic protocols could maintain monetary coordination even if Standard Model cryptography collapses. This creates an enormous geopolitical premium on being first to develop functional dark-sector qubits.</w:t>
      </w:r>
    </w:p>
    <w:p>
      <w:pPr>
        <w:pBdr>
          <w:bottom w:val="single" w:color="2E4057" w:sz="4" w:space="1"/>
        </w:pBdr>
        <w:spacing w:before="200" w:after="200"/>
      </w:pPr>
    </w:p>
    <w:p>
      <w:pPr>
        <w:pStyle w:val="Heading1"/>
        <w:spacing w:before="360" w:after="200"/>
      </w:pPr>
      <w:r>
        <w:rPr>
          <w:rFonts w:ascii="Arial" w:cs="Arial" w:eastAsia="Arial" w:hAnsi="Arial"/>
          <w:b/>
          <w:bCs/>
          <w:sz w:val="36"/>
          <w:szCs w:val="36"/>
        </w:rPr>
        <w:t xml:space="preserve">Part V: Geopolitical and War Economy Implications</w:t>
      </w:r>
    </w:p>
    <w:p>
      <w:pPr>
        <w:pStyle w:val="Heading2"/>
        <w:spacing w:before="280" w:after="160"/>
      </w:pPr>
      <w:r>
        <w:rPr>
          <w:rFonts w:ascii="Arial" w:cs="Arial" w:eastAsia="Arial" w:hAnsi="Arial"/>
          <w:b/>
          <w:bCs/>
          <w:sz w:val="28"/>
          <w:szCs w:val="28"/>
        </w:rPr>
        <w:t xml:space="preserve">5.1 Military-Economic First-Mover Dynamics</w:t>
      </w:r>
    </w:p>
    <w:p>
      <w:pPr>
        <w:spacing w:before="100" w:after="100"/>
        <w:jc w:val="both"/>
      </w:pPr>
      <w:r>
        <w:rPr>
          <w:rFonts w:ascii="Arial" w:cs="Arial" w:eastAsia="Arial" w:hAnsi="Arial"/>
          <w:sz w:val="22"/>
          <w:szCs w:val="22"/>
        </w:rPr>
        <w:t xml:space="preserve">The combination of jneopallium-class autonomous AI and CCDR engineering outputs creates military capabilities that are not merely quantitatively superior to existing systems but qualitatively different. The relevant distinction for economic analysis is between capabilities that require human operators (which create demand for skilled military labor and associated supply chains) and capabilities that do not (which concentrate military power in the capital required to produce the systems).</w:t>
      </w:r>
    </w:p>
    <w:p>
      <w:pPr>
        <w:spacing w:before="100" w:after="100"/>
        <w:jc w:val="both"/>
      </w:pPr>
      <w:r>
        <w:rPr>
          <w:rFonts w:ascii="Arial" w:cs="Arial" w:eastAsia="Arial" w:hAnsi="Arial"/>
          <w:sz w:val="22"/>
          <w:szCs w:val="22"/>
        </w:rPr>
        <w:t xml:space="preserve">A state with functioning neuromorphic autonomous AI military systems — capable of independent tactical and strategic decision-making, immune to electronic countermeasures targeting human cognitive latency, operating at computational speeds far exceeding human reaction time — does not have a quantitative advantage over states without these systems. It has a categorical advantage, comparable to nuclear weapons but without the mutual assured destruction constraint that stabilizes nuclear deterrence.</w:t>
      </w:r>
    </w:p>
    <w:p>
      <w:pPr>
        <w:spacing w:before="100" w:after="100"/>
        <w:jc w:val="both"/>
      </w:pPr>
      <w:r>
        <w:rPr>
          <w:rFonts w:ascii="Arial" w:cs="Arial" w:eastAsia="Arial" w:hAnsi="Arial"/>
          <w:sz w:val="22"/>
          <w:szCs w:val="22"/>
        </w:rPr>
        <w:t xml:space="preserve">The economic consequence of this transition is a military spending discontinuity. Defense budgets currently purchase primarily personnel, platforms (aircraft, ships, vehicles), and logistics. In the post-jneopallium military economy, the primary defense expenditure is on AI system development, quantum-secured communication infrastructure, and the materials supply chain for coherent computing. Personnel costs collapse. Platform costs shift from quantity to quality. The entire economic ecosystem of defense industries (armaments manufacturing, military personnel pipelines, defense contractor networks) undergoes structural transformation.</w:t>
      </w:r>
    </w:p>
    <w:p>
      <w:pPr>
        <w:pStyle w:val="Heading2"/>
        <w:spacing w:before="280" w:after="160"/>
      </w:pPr>
      <w:r>
        <w:rPr>
          <w:rFonts w:ascii="Arial" w:cs="Arial" w:eastAsia="Arial" w:hAnsi="Arial"/>
          <w:b/>
          <w:bCs/>
          <w:sz w:val="28"/>
          <w:szCs w:val="28"/>
        </w:rPr>
        <w:t xml:space="preserve">5.2 War Economy and Consumption Under Autonomous AI</w:t>
      </w:r>
    </w:p>
    <w:p>
      <w:pPr>
        <w:spacing w:before="100" w:after="100"/>
        <w:jc w:val="both"/>
      </w:pPr>
      <w:r>
        <w:rPr>
          <w:rFonts w:ascii="Arial" w:cs="Arial" w:eastAsia="Arial" w:hAnsi="Arial"/>
          <w:sz w:val="22"/>
          <w:szCs w:val="22"/>
        </w:rPr>
        <w:t xml:space="preserve">Ukraine context is directly relevant here. The war economy the author inhabits has characteristics that illuminate the broader transition: extreme resource scarcity requiring radical efficiency, rapid technological adaptation cycles, distributed manufacturing under adversarial conditions, and high premium on autonomous systems that reduce human exposure. These are exactly the conditions under which jneopallium-class architecture's economic efficiency advantages are most pronounced.</w:t>
      </w:r>
    </w:p>
    <w:p>
      <w:pPr>
        <w:spacing w:before="100" w:after="100"/>
        <w:jc w:val="both"/>
      </w:pPr>
      <w:r>
        <w:rPr>
          <w:rFonts w:ascii="Arial" w:cs="Arial" w:eastAsia="Arial" w:hAnsi="Arial"/>
          <w:sz w:val="22"/>
          <w:szCs w:val="22"/>
        </w:rPr>
        <w:t xml:space="preserve">A jneopallium-based war economy produces the following economic signature:</w:t>
      </w:r>
    </w:p>
    <w:p>
      <w:pPr>
        <w:pStyle w:val="ListParagraph"/>
        <w:numPr>
          <w:ilvl w:val="0"/>
          <w:numId w:val="2"/>
        </w:numPr>
        <w:spacing w:before="60" w:after="60"/>
      </w:pPr>
      <w:r>
        <w:rPr>
          <w:rFonts w:ascii="Arial" w:cs="Arial" w:eastAsia="Arial" w:hAnsi="Arial"/>
          <w:sz w:val="22"/>
          <w:szCs w:val="22"/>
        </w:rPr>
        <w:t xml:space="preserve">Sharply reduced demand for mass infantry equipment (the largest component of wartime labor demand)</w:t>
      </w:r>
    </w:p>
    <w:p>
      <w:pPr>
        <w:pStyle w:val="ListParagraph"/>
        <w:numPr>
          <w:ilvl w:val="0"/>
          <w:numId w:val="2"/>
        </w:numPr>
        <w:spacing w:before="60" w:after="60"/>
      </w:pPr>
      <w:r>
        <w:rPr>
          <w:rFonts w:ascii="Arial" w:cs="Arial" w:eastAsia="Arial" w:hAnsi="Arial"/>
          <w:sz w:val="22"/>
          <w:szCs w:val="22"/>
        </w:rPr>
        <w:t xml:space="preserve">Sharply increased demand for sensor networks, communication infrastructure, and computing substrates</w:t>
      </w:r>
    </w:p>
    <w:p>
      <w:pPr>
        <w:pStyle w:val="ListParagraph"/>
        <w:numPr>
          <w:ilvl w:val="0"/>
          <w:numId w:val="2"/>
        </w:numPr>
        <w:spacing w:before="60" w:after="60"/>
      </w:pPr>
      <w:r>
        <w:rPr>
          <w:rFonts w:ascii="Arial" w:cs="Arial" w:eastAsia="Arial" w:hAnsi="Arial"/>
          <w:sz w:val="22"/>
          <w:szCs w:val="22"/>
        </w:rPr>
        <w:t xml:space="preserve">Energy consumption profile shifts from petroleum-intensive (tanks, aircraft) to electricity-intensive (autonomous systems, data centers)</w:t>
      </w:r>
    </w:p>
    <w:p>
      <w:pPr>
        <w:pStyle w:val="ListParagraph"/>
        <w:numPr>
          <w:ilvl w:val="0"/>
          <w:numId w:val="2"/>
        </w:numPr>
        <w:spacing w:before="60" w:after="60"/>
      </w:pPr>
      <w:r>
        <w:rPr>
          <w:rFonts w:ascii="Arial" w:cs="Arial" w:eastAsia="Arial" w:hAnsi="Arial"/>
          <w:sz w:val="22"/>
          <w:szCs w:val="22"/>
        </w:rPr>
        <w:t xml:space="preserve">Supply chain logic inverts: instead of protecting human supply lines from disruption, protecting computational infrastructure from cyber and physical attack becomes primary</w:t>
      </w:r>
    </w:p>
    <w:p>
      <w:pPr>
        <w:spacing w:before="100" w:after="100"/>
        <w:jc w:val="both"/>
      </w:pPr>
      <w:r>
        <w:rPr>
          <w:rFonts w:ascii="Arial" w:cs="Arial" w:eastAsia="Arial" w:hAnsi="Arial"/>
          <w:sz w:val="22"/>
          <w:szCs w:val="22"/>
        </w:rPr>
        <w:t xml:space="preserve">The transition from labor-intensive to coherence-intensive war economy maps directly onto the civilian economic transition analyzed in Parts I-IV. War, historically an accelerant of technological adoption, may accelerate the broader coherence economy transition by a decade or more.</w:t>
      </w:r>
    </w:p>
    <w:p>
      <w:pPr>
        <w:pBdr>
          <w:bottom w:val="single" w:color="2E4057" w:sz="4" w:space="1"/>
        </w:pBdr>
        <w:spacing w:before="200" w:after="200"/>
      </w:pPr>
    </w:p>
    <w:p>
      <w:pPr>
        <w:pStyle w:val="Heading1"/>
        <w:spacing w:before="360" w:after="200"/>
      </w:pPr>
      <w:r>
        <w:rPr>
          <w:rFonts w:ascii="Arial" w:cs="Arial" w:eastAsia="Arial" w:hAnsi="Arial"/>
          <w:b/>
          <w:bCs/>
          <w:sz w:val="36"/>
          <w:szCs w:val="36"/>
        </w:rPr>
        <w:t xml:space="preserve">Part VI: Policy Architecture for the Coherence Transition</w:t>
      </w:r>
    </w:p>
    <w:p>
      <w:pPr>
        <w:pStyle w:val="Heading2"/>
        <w:spacing w:before="280" w:after="160"/>
      </w:pPr>
      <w:r>
        <w:rPr>
          <w:rFonts w:ascii="Arial" w:cs="Arial" w:eastAsia="Arial" w:hAnsi="Arial"/>
          <w:b/>
          <w:bCs/>
          <w:sz w:val="28"/>
          <w:szCs w:val="28"/>
        </w:rPr>
        <w:t xml:space="preserve">6.1 Why Market Self-Correction is Insufficient</w:t>
      </w:r>
    </w:p>
    <w:p>
      <w:pPr>
        <w:spacing w:before="100" w:after="100"/>
        <w:jc w:val="both"/>
      </w:pPr>
      <w:r>
        <w:rPr>
          <w:rFonts w:ascii="Arial" w:cs="Arial" w:eastAsia="Arial" w:hAnsi="Arial"/>
          <w:sz w:val="22"/>
          <w:szCs w:val="22"/>
        </w:rPr>
        <w:t xml:space="preserve">Standard economic theory predicts that technological unemployment generates compensating mechanisms: cheaper goods increase real purchasing power, displaced workers transition to new categories, and new industries absorb surplus labor. This mechanism requires two conditions that the neuromorphic AI transition may not satisfy: (1) a time horizon short enough that the transition completes before demand destruction becomes self-reinforcing, and (2) the existence of new labor categories that human workers can enter faster than AI systems can follow.</w:t>
      </w:r>
    </w:p>
    <w:p>
      <w:pPr>
        <w:spacing w:before="100" w:after="100"/>
        <w:jc w:val="both"/>
      </w:pPr>
      <w:r>
        <w:rPr>
          <w:rFonts w:ascii="Arial" w:cs="Arial" w:eastAsia="Arial" w:hAnsi="Arial"/>
          <w:sz w:val="22"/>
          <w:szCs w:val="22"/>
        </w:rPr>
        <w:t xml:space="preserve">Neither condition is guaranteed in the jneopallium scenario. The architectural completeness of neuromorphic AI — covering attention, memory, planning, action selection, and ethical reasoning simultaneously — eliminates the lag that historically allowed human labor to find new niches. Market self-correction requires time; if the deployment velocity exceeds the adaptation velocity, self-correction fails.</w:t>
      </w:r>
    </w:p>
    <w:p>
      <w:pPr>
        <w:pStyle w:val="Heading2"/>
        <w:spacing w:before="280" w:after="160"/>
      </w:pPr>
      <w:r>
        <w:rPr>
          <w:rFonts w:ascii="Arial" w:cs="Arial" w:eastAsia="Arial" w:hAnsi="Arial"/>
          <w:b/>
          <w:bCs/>
          <w:sz w:val="28"/>
          <w:szCs w:val="28"/>
        </w:rPr>
        <w:t xml:space="preserve">6.2 The Universal Coherence Dividend</w:t>
      </w:r>
    </w:p>
    <w:p>
      <w:pPr>
        <w:spacing w:before="100" w:after="100"/>
        <w:jc w:val="both"/>
      </w:pPr>
      <w:r>
        <w:rPr>
          <w:rFonts w:ascii="Arial" w:cs="Arial" w:eastAsia="Arial" w:hAnsi="Arial"/>
          <w:sz w:val="22"/>
          <w:szCs w:val="22"/>
        </w:rPr>
        <w:t xml:space="preserve">The most promising policy framework for the coherence economy transition combines elements of Universal Basic Income with direct linkage to coherence economy productivity gains. The conceptual logic: if the primary scarce resource becomes coherence (crystal substrates, quantum systems, neuromorphic AI capacity) rather than labor, then the social dividend should be denominated in access to coherence-based production capacity, not in fiat currency claims on labor income.</w:t>
      </w:r>
    </w:p>
    <w:p>
      <w:pPr>
        <w:spacing w:before="100" w:after="100"/>
        <w:jc w:val="both"/>
      </w:pPr>
      <w:r>
        <w:rPr>
          <w:rFonts w:ascii="Arial" w:cs="Arial" w:eastAsia="Arial" w:hAnsi="Arial"/>
          <w:sz w:val="22"/>
          <w:szCs w:val="22"/>
        </w:rPr>
        <w:t xml:space="preserve">Concretely, this means:</w:t>
      </w:r>
    </w:p>
    <w:p>
      <w:pPr>
        <w:pStyle w:val="ListParagraph"/>
        <w:numPr>
          <w:ilvl w:val="0"/>
          <w:numId w:val="2"/>
        </w:numPr>
        <w:spacing w:before="60" w:after="60"/>
      </w:pPr>
      <w:r>
        <w:rPr>
          <w:rFonts w:ascii="Arial" w:cs="Arial" w:eastAsia="Arial" w:hAnsi="Arial"/>
          <w:sz w:val="22"/>
          <w:szCs w:val="22"/>
        </w:rPr>
        <w:t xml:space="preserve">Public ownership or regulated access to coherence manufacturing infrastructure, analogous to public utility regulation of electricity grids</w:t>
      </w:r>
    </w:p>
    <w:p>
      <w:pPr>
        <w:pStyle w:val="ListParagraph"/>
        <w:numPr>
          <w:ilvl w:val="0"/>
          <w:numId w:val="2"/>
        </w:numPr>
        <w:spacing w:before="60" w:after="60"/>
      </w:pPr>
      <w:r>
        <w:rPr>
          <w:rFonts w:ascii="Arial" w:cs="Arial" w:eastAsia="Arial" w:hAnsi="Arial"/>
          <w:sz w:val="22"/>
          <w:szCs w:val="22"/>
        </w:rPr>
        <w:t xml:space="preserve">Universal allocation of computational capacity (coherence units) as a social right, allowing every citizen to deploy AI assistance regardless of income</w:t>
      </w:r>
    </w:p>
    <w:p>
      <w:pPr>
        <w:pStyle w:val="ListParagraph"/>
        <w:numPr>
          <w:ilvl w:val="0"/>
          <w:numId w:val="2"/>
        </w:numPr>
        <w:spacing w:before="60" w:after="60"/>
      </w:pPr>
      <w:r>
        <w:rPr>
          <w:rFonts w:ascii="Arial" w:cs="Arial" w:eastAsia="Arial" w:hAnsi="Arial"/>
          <w:sz w:val="22"/>
          <w:szCs w:val="22"/>
        </w:rPr>
        <w:t xml:space="preserve">Automation taxes denominated as a fraction of productivity gains from coherence systems, redistributed as coherence access rather than cash</w:t>
      </w:r>
    </w:p>
    <w:p>
      <w:pPr>
        <w:pStyle w:val="ListParagraph"/>
        <w:numPr>
          <w:ilvl w:val="0"/>
          <w:numId w:val="2"/>
        </w:numPr>
        <w:spacing w:before="60" w:after="60"/>
      </w:pPr>
      <w:r>
        <w:rPr>
          <w:rFonts w:ascii="Arial" w:cs="Arial" w:eastAsia="Arial" w:hAnsi="Arial"/>
          <w:sz w:val="22"/>
          <w:szCs w:val="22"/>
        </w:rPr>
        <w:t xml:space="preserve">International coordination on quantum cryptography transition, particularly to prevent the monetary crisis scenario from falling unevenly on states with weaker digital infrastructure</w:t>
      </w:r>
    </w:p>
    <w:p>
      <w:pPr>
        <w:pStyle w:val="Heading2"/>
        <w:spacing w:before="280" w:after="160"/>
      </w:pPr>
      <w:r>
        <w:rPr>
          <w:rFonts w:ascii="Arial" w:cs="Arial" w:eastAsia="Arial" w:hAnsi="Arial"/>
          <w:b/>
          <w:bCs/>
          <w:sz w:val="28"/>
          <w:szCs w:val="28"/>
        </w:rPr>
        <w:t xml:space="preserve">6.3 The Open Source Coherence Economy</w:t>
      </w:r>
    </w:p>
    <w:p>
      <w:pPr>
        <w:spacing w:before="100" w:after="100"/>
        <w:jc w:val="both"/>
      </w:pPr>
      <w:r>
        <w:rPr>
          <w:rFonts w:ascii="Arial" w:cs="Arial" w:eastAsia="Arial" w:hAnsi="Arial"/>
          <w:sz w:val="22"/>
          <w:szCs w:val="22"/>
        </w:rPr>
        <w:t xml:space="preserve">jneopallium's strategic architecture — open source, distributed (Raspberry Pi / FPGA workers via gRPC), biologically-plausible rather than transformer-scale — is not merely a technical choice. It is a political economy position. Open source neuromorphic AI on commodity hardware implies that the coherence economy's primary asset (AI cognitive capacity) is not monopolizable by capital-intensive large institutions.</w:t>
      </w:r>
    </w:p>
    <w:p>
      <w:pPr>
        <w:spacing w:before="100" w:after="100"/>
        <w:jc w:val="both"/>
      </w:pPr>
      <w:r>
        <w:rPr>
          <w:rFonts w:ascii="Arial" w:cs="Arial" w:eastAsia="Arial" w:hAnsi="Arial"/>
          <w:sz w:val="22"/>
          <w:szCs w:val="22"/>
        </w:rPr>
        <w:t xml:space="preserve">This is the economic logic that makes the LLM bubble thesis coherent: large transformer architectures require enormous capital concentration (training runs, data centers, ASML machines). When the architectural frontier moves to neuromorphic systems deployable on distributed hardware, the capital advantage of large institutions becomes a liability — they are optimized for the wrong paradigm. The Edison moment for neuromorphic AI is not the first system that works, but the first system that works on hardware a small team in Kharkiv can deploy.</w:t>
      </w:r>
    </w:p>
    <w:p>
      <w:pPr>
        <w:spacing w:before="100" w:after="100"/>
        <w:jc w:val="both"/>
      </w:pPr>
      <w:r>
        <w:rPr>
          <w:rFonts w:ascii="Arial" w:cs="Arial" w:eastAsia="Arial" w:hAnsi="Arial"/>
          <w:sz w:val="22"/>
          <w:szCs w:val="22"/>
        </w:rPr>
        <w:t xml:space="preserve">This is already the jneopallium thesis. Its economic vindication depends on the timing of the LLM bubble deflation relative to neuromorphic system maturation — and on whether the quantum cryptographic crisis arrives before or after the migration to post-quantum and dark-sector alternatives.</w:t>
      </w:r>
    </w:p>
    <w:p>
      <w:pPr>
        <w:pBdr>
          <w:bottom w:val="single" w:color="2E4057" w:sz="4" w:space="1"/>
        </w:pBdr>
        <w:spacing w:before="200" w:after="200"/>
      </w:pPr>
    </w:p>
    <w:p>
      <w:pPr>
        <w:pStyle w:val="Heading1"/>
        <w:spacing w:before="360" w:after="200"/>
      </w:pPr>
      <w:r>
        <w:rPr>
          <w:rFonts w:ascii="Arial" w:cs="Arial" w:eastAsia="Arial" w:hAnsi="Arial"/>
          <w:b/>
          <w:bCs/>
          <w:sz w:val="36"/>
          <w:szCs w:val="36"/>
        </w:rPr>
        <w:t xml:space="preserve">Conclusion: Timing, Sequence, and the Critical Path</w:t>
      </w:r>
    </w:p>
    <w:p>
      <w:pPr>
        <w:spacing w:before="100" w:after="100"/>
        <w:jc w:val="both"/>
      </w:pPr>
      <w:r>
        <w:rPr>
          <w:rFonts w:ascii="Arial" w:cs="Arial" w:eastAsia="Arial" w:hAnsi="Arial"/>
          <w:sz w:val="22"/>
          <w:szCs w:val="22"/>
        </w:rPr>
        <w:t xml:space="preserve">The economic consequences analyzed here are not independent. They form a sequence whose ordering determines whether the transition produces the Coherence Boom scenario or the Consumption Collapse scenario. The critical path is:</w:t>
      </w:r>
    </w:p>
    <w:p>
      <w:pPr>
        <w:pStyle w:val="ListParagraph"/>
        <w:numPr>
          <w:ilvl w:val="0"/>
          <w:numId w:val="2"/>
        </w:numPr>
        <w:spacing w:before="60" w:after="60"/>
      </w:pPr>
      <w:r>
        <w:rPr>
          <w:rFonts w:ascii="Arial" w:cs="Arial" w:eastAsia="Arial" w:hAnsi="Arial"/>
          <w:sz w:val="22"/>
          <w:szCs w:val="22"/>
        </w:rPr>
        <w:t xml:space="preserve">Phase 1 (2025–2030): LLM bubble deflation; early jneopallium-class neuromorphic systems demonstrate capability on distributed hardware; quantum hardware continues scaling; RSA vulnerability timeline shortens; CCDR predictions begin receiving experimental attention (DESI DR3/DR4, CMB-S4)</w:t>
      </w:r>
    </w:p>
    <w:p>
      <w:pPr>
        <w:pStyle w:val="ListParagraph"/>
        <w:numPr>
          <w:ilvl w:val="0"/>
          <w:numId w:val="2"/>
        </w:numPr>
        <w:spacing w:before="60" w:after="60"/>
      </w:pPr>
      <w:r>
        <w:rPr>
          <w:rFonts w:ascii="Arial" w:cs="Arial" w:eastAsia="Arial" w:hAnsi="Arial"/>
          <w:sz w:val="22"/>
          <w:szCs w:val="22"/>
        </w:rPr>
        <w:t xml:space="preserve">Phase 2 (2028–2035): First quantum factoring demonstrations on real cryptographic targets (likely classified, then disclosed); NIST PQC migration begins at scale; first phononic computing demonstrations; jneopallium-class systems achieve role-level cognitive substitution in specific domains; consumption compression begins in knowledge economy sectors</w:t>
      </w:r>
    </w:p>
    <w:p>
      <w:pPr>
        <w:pStyle w:val="ListParagraph"/>
        <w:numPr>
          <w:ilvl w:val="0"/>
          <w:numId w:val="2"/>
        </w:numPr>
        <w:spacing w:before="60" w:after="60"/>
      </w:pPr>
      <w:r>
        <w:rPr>
          <w:rFonts w:ascii="Arial" w:cs="Arial" w:eastAsia="Arial" w:hAnsi="Arial"/>
          <w:sz w:val="22"/>
          <w:szCs w:val="22"/>
        </w:rPr>
        <w:t xml:space="preserve">Phase 3 (2033–2042): Full RSA vulnerability; cryptographic infrastructure crisis if migration is incomplete; jneopallium-class systems achieve general cognitive role substitution; demand for coherence computing explodes; energy sector begins superconducting transition if CCDR materials predictions confirmed; war economies accelerate adoption</w:t>
      </w:r>
    </w:p>
    <w:p>
      <w:pPr>
        <w:pStyle w:val="ListParagraph"/>
        <w:numPr>
          <w:ilvl w:val="0"/>
          <w:numId w:val="2"/>
        </w:numPr>
        <w:spacing w:before="60" w:after="60"/>
      </w:pPr>
      <w:r>
        <w:rPr>
          <w:rFonts w:ascii="Arial" w:cs="Arial" w:eastAsia="Arial" w:hAnsi="Arial"/>
          <w:sz w:val="22"/>
          <w:szCs w:val="22"/>
        </w:rPr>
        <w:t xml:space="preserve">Phase 4 (2040–2060): Coherence economy established; dark-sector cryptographic infrastructure operational; vacuum energy engineering first demonstrations; neuromorphic AI manages global logistics, scientific research, and governance advisory functions; question is no longer whether transition occurs but who owns coherence manufacturing capacity and under what governance</w:t>
      </w:r>
    </w:p>
    <w:p>
      <w:pPr>
        <w:spacing w:before="100" w:after="100"/>
        <w:jc w:val="both"/>
      </w:pPr>
      <w:r>
        <w:rPr>
          <w:rFonts w:ascii="Arial" w:cs="Arial" w:eastAsia="Arial" w:hAnsi="Arial"/>
          <w:sz w:val="22"/>
          <w:szCs w:val="22"/>
        </w:rPr>
        <w:t xml:space="preserve">The window for policy intervention is Phase 1 and Phase 2. By Phase 3, the economic logic has become self-reinforcing in directions that are difficult to redirect without institutional collapse. The analysis in this paper suggests that the primary policy priority for the next decade is not AI safety in the narrow sense (preventing specific harmful outputs) but AI economic architecture: ensuring that the coherence economy transition does not produce a consumption collapse that destroys the institutional capacity needed to manage Phases 3 and 4.</w:t>
      </w:r>
    </w:p>
    <w:p>
      <w:pPr>
        <w:spacing w:before="100" w:after="100"/>
        <w:jc w:val="both"/>
      </w:pPr>
      <w:r>
        <w:rPr>
          <w:rFonts w:ascii="Arial" w:cs="Arial" w:eastAsia="Arial" w:hAnsi="Arial"/>
          <w:sz w:val="22"/>
          <w:szCs w:val="22"/>
        </w:rPr>
        <w:t xml:space="preserve">The technologies described here — jneopallium neuromorphic architecture, CCDR engineering outputs, dark-sector cryptography — are not certain. They are plausible given current theoretical frameworks and early empirical evidence. What is certain is that the economic logic of the transition they represent, if they become real, follows the structure analyzed above. Policymakers do not need to believe in CCDR to prepare for the RSA cryptographic transition. They do not need to understand dark-sector physics to design redistribution mechanisms for cognitive automation surplus. The preparation for the transition is separable from certainty about its specific physical substrate.</w:t>
      </w:r>
    </w:p>
    <w:p>
      <w:pPr>
        <w:spacing w:before="100" w:after="100"/>
        <w:jc w:val="both"/>
      </w:pPr>
      <w:r>
        <w:rPr>
          <w:rFonts w:ascii="Arial" w:cs="Arial" w:eastAsia="Arial" w:hAnsi="Arial"/>
          <w:sz w:val="22"/>
          <w:szCs w:val="22"/>
        </w:rPr>
        <w:t xml:space="preserve">That is, perhaps, the most important economic fact of all.</w:t>
      </w:r>
    </w:p>
    <w:p>
      <w:pPr>
        <w:pBdr>
          <w:bottom w:val="single" w:color="2E4057" w:sz="4" w:space="1"/>
        </w:pBdr>
        <w:spacing w:before="200" w:after="200"/>
      </w:pPr>
    </w:p>
    <w:p>
      <w:pPr>
        <w:spacing w:before="360" w:after="120"/>
        <w:jc w:val="center"/>
      </w:pPr>
      <w:r>
        <w:rPr>
          <w:rFonts w:ascii="Arial" w:cs="Arial" w:eastAsia="Arial" w:hAnsi="Arial"/>
          <w:i/>
          <w:iCs/>
          <w:color w:val="888888"/>
          <w:sz w:val="20"/>
          <w:szCs w:val="20"/>
        </w:rPr>
        <w:t xml:space="preserve">— End of Report —</w:t>
      </w:r>
    </w:p>
    <w:p>
      <w:pPr>
        <w:spacing w:before="0" w:after="120"/>
        <w:jc w:val="center"/>
      </w:pPr>
      <w:r>
        <w:rPr>
          <w:rFonts w:ascii="Arial" w:cs="Arial" w:eastAsia="Arial" w:hAnsi="Arial"/>
          <w:color w:val="888888"/>
          <w:sz w:val="18"/>
          <w:szCs w:val="18"/>
        </w:rPr>
        <w:t xml:space="preserve">jneopallium Framework | CCDR v5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2026-03-12T21:58:47.326Z</dcterms:created>
  <dcterms:modified xsi:type="dcterms:W3CDTF">2026-03-12T21:58:47.328Z</dcterms:modified>
</cp:coreProperties>
</file>

<file path=docProps/custom.xml><?xml version="1.0" encoding="utf-8"?>
<Properties xmlns="http://schemas.openxmlformats.org/officeDocument/2006/custom-properties" xmlns:vt="http://schemas.openxmlformats.org/officeDocument/2006/docPropsVTypes"/>
</file>