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2"/>
          <w:szCs w:val="52"/>
        </w:rPr>
        <w:t xml:space="preserve">ЕКОНОМІЧНІ НАСЛІДКИ</w:t>
      </w:r>
    </w:p>
    <w:p>
      <w:pPr>
        <w:spacing w:before="0" w:after="120"/>
        <w:jc w:val="center"/>
      </w:pPr>
      <w:r>
        <w:rPr>
          <w:rFonts w:ascii="Arial" w:cs="Arial" w:eastAsia="Arial" w:hAnsi="Arial"/>
          <w:b/>
          <w:bCs/>
          <w:color w:val="2E4057"/>
          <w:sz w:val="36"/>
          <w:szCs w:val="36"/>
        </w:rPr>
        <w:t xml:space="preserve">НЕЙРОМОРФНОГО ШІ ТА ФІЗИКИ CCDR</w:t>
      </w:r>
    </w:p>
    <w:p>
      <w:pPr>
        <w:spacing w:before="0" w:after="120"/>
        <w:jc w:val="center"/>
      </w:pPr>
      <w:r>
        <w:rPr>
          <w:rFonts w:ascii="Arial" w:cs="Arial" w:eastAsia="Arial" w:hAnsi="Arial"/>
          <w:i/>
          <w:iCs/>
          <w:color w:val="555555"/>
          <w:sz w:val="24"/>
          <w:szCs w:val="24"/>
        </w:rPr>
        <w:t xml:space="preserve">Застосування до світової економіки: праця, капітал, криптографія та цивілізаційний перехід</w:t>
      </w:r>
    </w:p>
    <w:p>
      <w:pPr>
        <w:spacing w:before="80" w:after="480"/>
        <w:jc w:val="center"/>
      </w:pPr>
      <w:r>
        <w:rPr>
          <w:rFonts w:ascii="Arial" w:cs="Arial" w:eastAsia="Arial" w:hAnsi="Arial"/>
          <w:color w:val="888888"/>
          <w:sz w:val="20"/>
          <w:szCs w:val="20"/>
        </w:rPr>
        <w:t xml:space="preserve">Березень 2026  |  Фреймворк jneopallium  |  CCDR v5</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Анотація</w:t>
      </w:r>
    </w:p>
    <w:p>
      <w:pPr>
        <w:spacing w:before="100" w:after="100"/>
        <w:jc w:val="both"/>
      </w:pPr>
      <w:r>
        <w:rPr>
          <w:rFonts w:ascii="Arial" w:cs="Arial" w:eastAsia="Arial" w:hAnsi="Arial"/>
          <w:sz w:val="22"/>
          <w:szCs w:val="22"/>
        </w:rPr>
        <w:t xml:space="preserve">Ця стаття аналізує макроекономічні наслідки двох взаємопов'язаних технологічних розробок: (1) розгортання нейроморфних автономних систем ШІ класу jneopallium, здатних виконувати когнітивну роботу в усьому спектрі кваліфікацій, та (2) практичного застосування інженерних результатів CCDR (Кристалографічна космологія від вимірного редукування) — зокрема фотонних обчислень, субстратів кубітів темного сектора та вилучення вакуумної енергії. Ці розробки розглядаються не як незалежні потрясіння. Їхня конвергенція породжує нелінійний цивілізаційний фазовий перехід, економічні наслідки якого неможливо змоделювати за допомогою традиційного аналізу продуктивності.</w:t>
      </w:r>
    </w:p>
    <w:p>
      <w:pPr>
        <w:spacing w:before="100" w:after="100"/>
        <w:jc w:val="both"/>
      </w:pPr>
      <w:r>
        <w:rPr>
          <w:rFonts w:ascii="Arial" w:cs="Arial" w:eastAsia="Arial" w:hAnsi="Arial"/>
          <w:sz w:val="22"/>
          <w:szCs w:val="22"/>
        </w:rPr>
        <w:t xml:space="preserve">Ми виявляємо п'ять основних векторів економічного шоку: (І) колапс сукупного попиту внаслідок масового когнітивного безробіття, (ІІ) відмова криптографічної інфраструктури внаслідок гібридних квантово-класичних обчислень ШІ, (ІІІ) розрив у енергетичному секторі від вакуумної енергії та управління тепловими фотонами, (ІV) революція в матеріалах та виробництві від кристалічної інженерії, та (V) інверсія структури капіталу в міру того, як когерентність стає основним товаром, що замінює як енергію, так і працю. Кожен вектор аналізується окремо, після чого моделюються їхні взаємодії.</w:t>
      </w:r>
    </w:p>
    <w:p>
      <w:pPr>
        <w:spacing w:before="100" w:after="100"/>
        <w:jc w:val="both"/>
      </w:pPr>
      <w:r>
        <w:rPr>
          <w:rFonts w:ascii="Arial" w:cs="Arial" w:eastAsia="Arial" w:hAnsi="Arial"/>
          <w:sz w:val="22"/>
          <w:szCs w:val="22"/>
        </w:rPr>
        <w:t xml:space="preserve">Стаття доходить висновку, що релевантне питання політики полягає не в тому, як уповільнити ці переходи, а в тому, як спроектувати економічну архітектуру, здатну їх пережити без катастрофічного знищення попиту або цивілізаційного регресу.</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Частина І: Сингулярність ринку праці</w:t>
      </w:r>
    </w:p>
    <w:p>
      <w:pPr>
        <w:pStyle w:val="Heading2"/>
        <w:spacing w:before="280" w:after="160"/>
      </w:pPr>
      <w:r>
        <w:rPr>
          <w:rFonts w:ascii="Arial" w:cs="Arial" w:eastAsia="Arial" w:hAnsi="Arial"/>
          <w:b/>
          <w:bCs/>
          <w:sz w:val="28"/>
          <w:szCs w:val="28"/>
        </w:rPr>
        <w:t xml:space="preserve">1.1 Що реально витісняють системи класу jneopallium</w:t>
      </w:r>
    </w:p>
    <w:p>
      <w:pPr>
        <w:spacing w:before="100" w:after="100"/>
        <w:jc w:val="both"/>
      </w:pPr>
      <w:r>
        <w:rPr>
          <w:rFonts w:ascii="Arial" w:cs="Arial" w:eastAsia="Arial" w:hAnsi="Arial"/>
          <w:sz w:val="22"/>
          <w:szCs w:val="22"/>
        </w:rPr>
        <w:t xml:space="preserve">Стандартний економічний аналіз автоматизації розрізняє рутинні та нерутинні завдання, а також фізичну та когнітивну роботу. Попередні хвилі автоматизації (механічна, цифрова, ранні нейронні мережі) витісняли підмножину спектра праці, залишаючи суттєві когнітивні залишки, що не піддаються заміщенню. Це припущення лежить в основі основних економічних прогнозів, які проектують витіснення робочих місць із компенсуючим їх створенням у категоріях «творчих», «реляційних» і «складного мислення».</w:t>
      </w:r>
    </w:p>
    <w:p>
      <w:pPr>
        <w:spacing w:before="100" w:after="100"/>
        <w:jc w:val="both"/>
      </w:pPr>
      <w:r>
        <w:rPr>
          <w:rFonts w:ascii="Arial" w:cs="Arial" w:eastAsia="Arial" w:hAnsi="Arial"/>
          <w:sz w:val="22"/>
          <w:szCs w:val="22"/>
        </w:rPr>
        <w:t xml:space="preserve">Нейроморфна архітектура класу jneopallium руйнує цей притулок. Відмінною економічною рисою архітектури є не її груда продуктивність на будь-якому окремому завданні, а її архітектурна повнота: одночасна робота сенсорного кодування (L0-L1), робочої пам'яті та епізодичного буферування (L2), довгострокової пам'яті з прогнозуванням патернів (L3), планування та виконання послідовностей (L4), вибору дій із гальмівним контролем (L5), кількох шарів пластичності (L6) та автономного гомеостатичного регулювання (L7). Субсистема розпізнавання шкоди та моделювання наслідків додає здатність до етичних міркувань, яка раніше вважалася виключно людською.</w:t>
      </w:r>
    </w:p>
    <w:p>
      <w:pPr>
        <w:spacing w:before="100" w:after="100"/>
        <w:jc w:val="both"/>
      </w:pPr>
      <w:r>
        <w:rPr>
          <w:rFonts w:ascii="Arial" w:cs="Arial" w:eastAsia="Arial" w:hAnsi="Arial"/>
          <w:sz w:val="22"/>
          <w:szCs w:val="22"/>
        </w:rPr>
        <w:t xml:space="preserve">Економічна імплікація є категоричною, а не граничною: це не система, яка автоматизує певні завдання в межах категорії роботи. Це система, здатна замінити когнітивного працівника на рівні ролі. Ця відмінність має величезне значення для економіки праці.</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Критична відмінність</w:t>
            </w:r>
          </w:p>
        </w:tc>
        <w:tc>
          <w:tcPr>
            <w:tcW w:type="dxa" w:w="792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sz w:val="20"/>
                <w:szCs w:val="20"/>
              </w:rPr>
              <w:t xml:space="preserve">Попередня автоматизація: заміщення завдань у межах ролей. ШІ класу jneopallium: заміщення ролей у різних категоріях. Історичний адаптивний механізм ринку праці — перехід працівників до завдань, які машини ще не можуть виконувати — втрачає свою ціль.</w:t>
            </w:r>
          </w:p>
        </w:tc>
      </w:tr>
    </w:tbl>
    <w:p>
      <w:pPr>
        <w:pStyle w:val="Heading2"/>
        <w:spacing w:before="280" w:after="160"/>
      </w:pPr>
      <w:r>
        <w:rPr>
          <w:rFonts w:ascii="Arial" w:cs="Arial" w:eastAsia="Arial" w:hAnsi="Arial"/>
          <w:b/>
          <w:bCs/>
          <w:sz w:val="28"/>
          <w:szCs w:val="28"/>
        </w:rPr>
        <w:t xml:space="preserve">1.2 Спіраль стиснення споживання</w:t>
      </w:r>
    </w:p>
    <w:p>
      <w:pPr>
        <w:spacing w:before="100" w:after="100"/>
        <w:jc w:val="both"/>
      </w:pPr>
      <w:r>
        <w:rPr>
          <w:rFonts w:ascii="Arial" w:cs="Arial" w:eastAsia="Arial" w:hAnsi="Arial"/>
          <w:sz w:val="22"/>
          <w:szCs w:val="22"/>
        </w:rPr>
        <w:t xml:space="preserve">Класична економічна теорія (Кейнс, Калецькі) розглядає трудовий дохід як основне джерело сукупного попиту, особливо на споживчі товари. Коли автоматизація витісняла фізичну працю в історичній перспективі, приріст продуктивності частково компенсував втрати попиту: вищі прибутки реінвестувалися, дешевші товари збільшували реальну купівельну спроможність, нові категорії зайнятості поглинали переміщених працівників. Цей механізм критично залежить від того, що нова система все ще потребує значних людських ресурсів.</w:t>
      </w:r>
    </w:p>
    <w:p>
      <w:pPr>
        <w:spacing w:before="100" w:after="100"/>
        <w:jc w:val="both"/>
      </w:pPr>
      <w:r>
        <w:rPr>
          <w:rFonts w:ascii="Arial" w:cs="Arial" w:eastAsia="Arial" w:hAnsi="Arial"/>
          <w:sz w:val="22"/>
          <w:szCs w:val="22"/>
        </w:rPr>
        <w:t xml:space="preserve">Арифметика попиту фундаментально змінюється з повною когнітивною автоматизацією. Розглянемо стилізовану модель:</w:t>
      </w:r>
    </w:p>
    <w:p>
      <w:pPr>
        <w:pStyle w:val="ListParagraph"/>
        <w:numPr>
          <w:ilvl w:val="0"/>
          <w:numId w:val="2"/>
        </w:numPr>
        <w:spacing w:before="60" w:after="60"/>
      </w:pPr>
      <w:r>
        <w:rPr>
          <w:rFonts w:ascii="Arial" w:cs="Arial" w:eastAsia="Arial" w:hAnsi="Arial"/>
          <w:sz w:val="22"/>
          <w:szCs w:val="22"/>
        </w:rPr>
        <w:t xml:space="preserve">Когнітивна праця становить приблизно 60-70% ВВП у розвинутих економіках (дані ОЕСР, класифікація економіки знань)</w:t>
      </w:r>
    </w:p>
    <w:p>
      <w:pPr>
        <w:pStyle w:val="ListParagraph"/>
        <w:numPr>
          <w:ilvl w:val="0"/>
          <w:numId w:val="2"/>
        </w:numPr>
        <w:spacing w:before="60" w:after="60"/>
      </w:pPr>
      <w:r>
        <w:rPr>
          <w:rFonts w:ascii="Arial" w:cs="Arial" w:eastAsia="Arial" w:hAnsi="Arial"/>
          <w:sz w:val="22"/>
          <w:szCs w:val="22"/>
        </w:rPr>
        <w:t xml:space="preserve">Системи класу jneopallium, після масштабного розгортання, можуть замінити всю цю категорію</w:t>
      </w:r>
    </w:p>
    <w:p>
      <w:pPr>
        <w:pStyle w:val="ListParagraph"/>
        <w:numPr>
          <w:ilvl w:val="0"/>
          <w:numId w:val="2"/>
        </w:numPr>
        <w:spacing w:before="60" w:after="60"/>
      </w:pPr>
      <w:r>
        <w:rPr>
          <w:rFonts w:ascii="Arial" w:cs="Arial" w:eastAsia="Arial" w:hAnsi="Arial"/>
          <w:sz w:val="22"/>
          <w:szCs w:val="22"/>
        </w:rPr>
        <w:t xml:space="preserve">Витрати на розгортання переважно є капіталом (обладнання, енергія, обслуговування) — не заробітною платою</w:t>
      </w:r>
    </w:p>
    <w:p>
      <w:pPr>
        <w:pStyle w:val="ListParagraph"/>
        <w:numPr>
          <w:ilvl w:val="0"/>
          <w:numId w:val="2"/>
        </w:numPr>
        <w:spacing w:before="60" w:after="60"/>
      </w:pPr>
      <w:r>
        <w:rPr>
          <w:rFonts w:ascii="Arial" w:cs="Arial" w:eastAsia="Arial" w:hAnsi="Arial"/>
          <w:sz w:val="22"/>
          <w:szCs w:val="22"/>
        </w:rPr>
        <w:t xml:space="preserve">Концентрація доходу від капіталу значно вища, ніж концентрація трудового доходу (Піке ті: 10% найбагатших утримують ~70% капіталу в ОЕСР)</w:t>
      </w:r>
    </w:p>
    <w:p>
      <w:pPr>
        <w:pStyle w:val="ListParagraph"/>
        <w:numPr>
          <w:ilvl w:val="0"/>
          <w:numId w:val="2"/>
        </w:numPr>
        <w:spacing w:before="60" w:after="60"/>
      </w:pPr>
      <w:r>
        <w:rPr>
          <w:rFonts w:ascii="Arial" w:cs="Arial" w:eastAsia="Arial" w:hAnsi="Arial"/>
          <w:sz w:val="22"/>
          <w:szCs w:val="22"/>
        </w:rPr>
        <w:t xml:space="preserve">Домогосподарства з вищими доходами мають суттєво вищу граничну схильність до заощадження</w:t>
      </w:r>
    </w:p>
    <w:p>
      <w:pPr>
        <w:spacing w:before="100" w:after="100"/>
        <w:jc w:val="both"/>
      </w:pPr>
      <w:r>
        <w:rPr>
          <w:rFonts w:ascii="Arial" w:cs="Arial" w:eastAsia="Arial" w:hAnsi="Arial"/>
          <w:sz w:val="22"/>
          <w:szCs w:val="22"/>
        </w:rPr>
        <w:t xml:space="preserve">Арифметика проста: заміна трудового доходу доходом від капіталу у великому масштабі знижує сукупний споживчий попит. Приріст продуктивності дістається власникам капіталу, чиє споживання вже насичене. Переміщені працівники, чиє споживання було граничним (які витрачали майже весь дохід), стикаються з колапсом доходів. Результат — дефляційний тиск на ринки споживчих товарів саме тоді, коли виробнича потужність є максимальною — структурний парадокс, якого жодна попередня хвиля автоматизації не породжувала в такому масштабі.</w:t>
      </w:r>
    </w:p>
    <w:p>
      <w:pPr>
        <w:spacing w:before="100" w:after="100"/>
        <w:jc w:val="both"/>
      </w:pPr>
      <w:r>
        <w:rPr>
          <w:rFonts w:ascii="Arial" w:cs="Arial" w:eastAsia="Arial" w:hAnsi="Arial"/>
          <w:sz w:val="22"/>
          <w:szCs w:val="22"/>
        </w:rPr>
        <w:t xml:space="preserve">Це не є спекулятивним. Це логічне продовження добре відомого механізму (автоматизація → зсув факторного доходу → зміна структури попиту) до його природного кінцевого пункту, коли когнітивна автоматизація охоплює весь спектр праці.</w:t>
      </w:r>
    </w:p>
    <w:p>
      <w:pPr>
        <w:pStyle w:val="Heading2"/>
        <w:spacing w:before="280" w:after="160"/>
      </w:pPr>
      <w:r>
        <w:rPr>
          <w:rFonts w:ascii="Arial" w:cs="Arial" w:eastAsia="Arial" w:hAnsi="Arial"/>
          <w:b/>
          <w:bCs/>
          <w:sz w:val="28"/>
          <w:szCs w:val="28"/>
        </w:rPr>
        <w:t xml:space="preserve">1.3 Три сценарії переходу</w:t>
      </w:r>
    </w:p>
    <w:p>
      <w:pPr>
        <w:spacing w:before="100" w:after="100"/>
        <w:jc w:val="both"/>
      </w:pPr>
      <w:r>
        <w:rPr>
          <w:rFonts w:ascii="Arial" w:cs="Arial" w:eastAsia="Arial" w:hAnsi="Arial"/>
          <w:sz w:val="22"/>
          <w:szCs w:val="22"/>
        </w:rPr>
        <w:t xml:space="preserve">Терміни та тяжкість стиснення споживання критично залежать від швидкості розгортання та відповіді на неї. Ми моделюємо чотири сценарії: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Сценарій</w:t>
            </w:r>
          </w:p>
        </w:tc>
        <w:tc>
          <w:tcPr>
            <w:tcW w:type="dxa" w:w="23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Терміни</w:t>
            </w:r>
          </w:p>
        </w:tc>
        <w:tc>
          <w:tcPr>
            <w:tcW w:type="dxa" w:w="23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Вплив на ВВП</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Ключовий механізм</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Керований перехід</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років</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від −5% до −15% за десятиліття</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ББД + податок на автоматизацію поглинає витіснення; когерентна економіка створює новий попит</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Турбулентне витіснення</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5–10 років</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від −15% до −35% сукупно</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Розгортання випереджає політику; знищення попиту частково компенсується дешевими товарами</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Колапс споживання</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років</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від −35% до −60% сукупно</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Швидке розгортання, відсутність перерозподілу; дефляційна спіраль; стрес фінансової системи</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Бум когерентності</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15–30 років</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від +20% до +80% сукупно</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Енергія та матеріали CCDR уможливлюють нові категорії споживання; jneopallium керує переходом</w:t>
            </w:r>
          </w:p>
        </w:tc>
      </w:tr>
    </w:tbl>
    <w:p>
      <w:pPr>
        <w:spacing w:before="100" w:after="100"/>
        <w:jc w:val="both"/>
      </w:pPr>
      <w:r>
        <w:rPr>
          <w:rFonts w:ascii="Arial" w:cs="Arial" w:eastAsia="Arial" w:hAnsi="Arial"/>
          <w:sz w:val="22"/>
          <w:szCs w:val="22"/>
        </w:rPr>
        <w:t xml:space="preserve">Сценарій буму когерентності вимагає успішного виконання як розгортання jneopallium (управління переходом), так і інженерних результатів CCDR (створення нових категорій попиту). Це єдиний сценарій, який є одночасно технічно правдоподібним і економічно стабільним. Він вимагає цілеспрямованого інституційного проектування, а не саморегуляції ринку.</w:t>
      </w:r>
    </w:p>
    <w:p>
      <w:pPr>
        <w:pStyle w:val="Heading2"/>
        <w:spacing w:before="280" w:after="160"/>
      </w:pPr>
      <w:r>
        <w:rPr>
          <w:rFonts w:ascii="Arial" w:cs="Arial" w:eastAsia="Arial" w:hAnsi="Arial"/>
          <w:b/>
          <w:bCs/>
          <w:sz w:val="28"/>
          <w:szCs w:val="28"/>
        </w:rPr>
        <w:t xml:space="preserve">1.4 Історичні аналоги та їхні обмеження</w:t>
      </w:r>
    </w:p>
    <w:p>
      <w:pPr>
        <w:spacing w:before="100" w:after="100"/>
        <w:jc w:val="both"/>
      </w:pPr>
      <w:r>
        <w:rPr>
          <w:rFonts w:ascii="Arial" w:cs="Arial" w:eastAsia="Arial" w:hAnsi="Arial"/>
          <w:sz w:val="22"/>
          <w:szCs w:val="22"/>
        </w:rPr>
        <w:t xml:space="preserve">У дискусіях про витіснення штучним інтелектом часто наводять три історичні аналоги: Сільськогосподарська революція (~1800), Промислова революція (1760–1840) та Цифрова революція (1980–2020). Кожна з них супроводжувалась масовим витісненням із кінцевим позитивним ефектом на зайнятість. Прихильники тези «ШІ створить більше робочих місць, ніж знищить» спираються на цей паттерн.</w:t>
      </w:r>
    </w:p>
    <w:p>
      <w:pPr>
        <w:spacing w:before="100" w:after="100"/>
        <w:jc w:val="both"/>
      </w:pPr>
      <w:r>
        <w:rPr>
          <w:rFonts w:ascii="Arial" w:cs="Arial" w:eastAsia="Arial" w:hAnsi="Arial"/>
          <w:sz w:val="22"/>
          <w:szCs w:val="22"/>
        </w:rPr>
        <w:t xml:space="preserve">Усі три аналоги мають спільну критичну рису, відсутню у випадку нейроморфного ШІ: нова технологія створювала масовий попит на нову категорію людської праці. Механізація сільського господарства створила заводських робітників. Фабрична автоматизація створила офісних працівників. Цифрова автоматизація створила працівників знань. Кожен перехід спрацьовував, тому що нова економічна парадигма все ще мала значний внесок людської праці — просто по-іншому конфігурований.</w:t>
      </w:r>
    </w:p>
    <w:p>
      <w:pPr>
        <w:spacing w:before="100" w:after="100"/>
        <w:jc w:val="both"/>
      </w:pPr>
      <w:r>
        <w:rPr>
          <w:rFonts w:ascii="Arial" w:cs="Arial" w:eastAsia="Arial" w:hAnsi="Arial"/>
          <w:sz w:val="22"/>
          <w:szCs w:val="22"/>
        </w:rPr>
        <w:t xml:space="preserve">ШІ класу jneopallium — це перша технологія, економічна логіка якої полягає у мінімізації людського внеску праці в усіх категоріях одночасно. Аналог — не аграрна або промислова революція. Аналог — винахід штучного фотосинтезу, технології, яка не трансформує виробництво енергії, а повністю усуває її біологічне обмеження.</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Частина ІІ: Колапс криптографічної інфраструктури</w:t>
      </w:r>
    </w:p>
    <w:p>
      <w:pPr>
        <w:pStyle w:val="Heading2"/>
        <w:spacing w:before="280" w:after="160"/>
      </w:pPr>
      <w:r>
        <w:rPr>
          <w:rFonts w:ascii="Arial" w:cs="Arial" w:eastAsia="Arial" w:hAnsi="Arial"/>
          <w:b/>
          <w:bCs/>
          <w:sz w:val="28"/>
          <w:szCs w:val="28"/>
        </w:rPr>
        <w:t xml:space="preserve">2.1 Проблема RSA в економічному контексті</w:t>
      </w:r>
    </w:p>
    <w:p>
      <w:pPr>
        <w:spacing w:before="100" w:after="100"/>
        <w:jc w:val="both"/>
      </w:pPr>
      <w:r>
        <w:rPr>
          <w:rFonts w:ascii="Arial" w:cs="Arial" w:eastAsia="Arial" w:hAnsi="Arial"/>
          <w:sz w:val="22"/>
          <w:szCs w:val="22"/>
        </w:rPr>
        <w:t xml:space="preserve">RSA (Рівест–Шамір–Адлеман) та його варіанти на еліптичних кривих (ECC, ECDSA, EdDSA) лежать в основі практично всієї безпечної економічної інфраструктури: TLS/HTTPS (вся веб-комерція), цифрові підписи (фінансові транзакції, контракти, верифікація особи), PKI (ланцюги центрів сертифікації, що захищають банківську справу, уряд, охорону здоров'я), інфраструктура приватних ключів криптовалют та міжбанківські розрахункові системи (SWIFT, ACH, SEPA — всі використовують PKI у критичних вузлах).</w:t>
      </w:r>
    </w:p>
    <w:p>
      <w:pPr>
        <w:spacing w:before="100" w:after="100"/>
        <w:jc w:val="both"/>
      </w:pPr>
      <w:r>
        <w:rPr>
          <w:rFonts w:ascii="Arial" w:cs="Arial" w:eastAsia="Arial" w:hAnsi="Arial"/>
          <w:sz w:val="22"/>
          <w:szCs w:val="22"/>
        </w:rPr>
        <w:t xml:space="preserve">Математична основа безпеки RSA — обчислювальна складність розкладання великих цілих чисел на множники: для N=p×q, де p і q — великі прості числа, знаходження p і q з N є обчислювально неможливим для класичних комп'ютерів при достатній довжині ключа. Ця складність не абсолютна — вона обчислювальна. Вона залежить від того, чи для найкращих доступних алгоритмів, що виконуються на найкращому доступному обладнанні, задача займатиме більше часу, ніж є економічно виправданим.</w:t>
      </w:r>
    </w:p>
    <w:p>
      <w:pPr>
        <w:spacing w:before="100" w:after="100"/>
        <w:jc w:val="both"/>
      </w:pPr>
      <w:r>
        <w:rPr>
          <w:rFonts w:ascii="Arial" w:cs="Arial" w:eastAsia="Arial" w:hAnsi="Arial"/>
          <w:sz w:val="22"/>
          <w:szCs w:val="22"/>
        </w:rPr>
        <w:t xml:space="preserve">Алгоритм Шора, що виконується на достатньо великому відмовостійкому квантовому комп'ютері, руйнує це припущення. Проблема факторизації, яка потребує експоненційного класичного часу, потребує лише поліноміального квантового часу. RSA-2048 (наразі вважається безпечним) потребував би приблизно 4000 логічних кубітів для злому за допомогою алгоритму Шора. Сучасні квантові комп'ютери мають 1000-2000 фізичних кубітів з рівнями помилок, що потребують ~1000 фізичних кубітів на логічний кубіт — порогова межа знаходиться на відстані 3-4 порядків величини.</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Оцінка термінів</w:t>
            </w:r>
          </w:p>
        </w:tc>
        <w:tc>
          <w:tcPr>
            <w:tcW w:type="dxa" w:w="792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sz w:val="20"/>
                <w:szCs w:val="20"/>
              </w:rPr>
              <w:t xml:space="preserve">Основний криптографічний консенсус (терміни стандартизації NIST PQC, рекомендації NSA) встановлює вразливість RSA через 10–20 років для публічно оголошеного квантового обладнання. Однак це передбачає відсутність засекречених проривів і жодного гібридного прискорення класично-квантового ШІ.</w:t>
            </w:r>
          </w:p>
        </w:tc>
      </w:tr>
    </w:tbl>
    <w:p>
      <w:pPr>
        <w:pStyle w:val="Heading2"/>
        <w:spacing w:before="280" w:after="160"/>
      </w:pPr>
      <w:r>
        <w:rPr>
          <w:rFonts w:ascii="Arial" w:cs="Arial" w:eastAsia="Arial" w:hAnsi="Arial"/>
          <w:b/>
          <w:bCs/>
          <w:sz w:val="28"/>
          <w:szCs w:val="28"/>
        </w:rPr>
        <w:t xml:space="preserve">2.2 Фактор прискорення jneopallium</w:t>
      </w:r>
    </w:p>
    <w:p>
      <w:pPr>
        <w:spacing w:before="100" w:after="100"/>
        <w:jc w:val="both"/>
      </w:pPr>
      <w:r>
        <w:rPr>
          <w:rFonts w:ascii="Arial" w:cs="Arial" w:eastAsia="Arial" w:hAnsi="Arial"/>
          <w:sz w:val="22"/>
          <w:szCs w:val="22"/>
        </w:rPr>
        <w:t xml:space="preserve">Перетин нейроморфного ШІ класу jneopallium із квантовим криптоаналізом створює поверхню загрози, яку чисті терміни квантових обчислень систематично недооцінюють. Відповідний механізм полягає не в тому, що jneopallium вирішує проблему квантової корекції помилок (хоча його підсистеми оптимізації застосовні до цієї проблеми). Механізм — це оптимізація гібридних атак.</w:t>
      </w:r>
    </w:p>
    <w:p>
      <w:pPr>
        <w:spacing w:before="100" w:after="100"/>
        <w:jc w:val="both"/>
      </w:pPr>
      <w:r>
        <w:rPr>
          <w:rFonts w:ascii="Arial" w:cs="Arial" w:eastAsia="Arial" w:hAnsi="Arial"/>
          <w:sz w:val="22"/>
          <w:szCs w:val="22"/>
        </w:rPr>
        <w:t xml:space="preserve">Класична попередня обробка цілей RSA може суттєво зменшити необхідні квантові ресурси. Алгоритми решітчастого просіювання (варіанти GNFS) у поєднанні з оптимізацією параметрів просіювання за допомогою машинного навчання можуть знизити ефективну стійкість ключа на 100-200 біт для великих розмірів ключів. Система класу jneopallium, що оптимізує ці препроцесори в режимі реального часу, передаючи зведену задачу навіть скромному квантовому обладнанню, може привести порогову стійкість RSA-2048 до обладнання, вже теоретично досяжного.</w:t>
      </w:r>
    </w:p>
    <w:p>
      <w:pPr>
        <w:spacing w:before="100" w:after="100"/>
        <w:jc w:val="both"/>
      </w:pPr>
      <w:r>
        <w:rPr>
          <w:rFonts w:ascii="Arial" w:cs="Arial" w:eastAsia="Arial" w:hAnsi="Arial"/>
          <w:sz w:val="22"/>
          <w:szCs w:val="22"/>
        </w:rPr>
        <w:t xml:space="preserve">Більше того, рівні моделювання наслідків і планування jneopallium архітектурно пристосовані до специфічної проблеми оптимізації криптографічних атак: довгострокове планування (L4), прогнозування патернів із математичної структури (L3) та адаптивна корекція помилок (пластичність L6) безпосередньо відображаються на алгоритмічні виклики гібридної квантово-класичної факторизації.</w:t>
      </w:r>
    </w:p>
    <w:p>
      <w:pPr>
        <w:pStyle w:val="Heading2"/>
        <w:spacing w:before="280" w:after="160"/>
      </w:pPr>
      <w:r>
        <w:rPr>
          <w:rFonts w:ascii="Arial" w:cs="Arial" w:eastAsia="Arial" w:hAnsi="Arial"/>
          <w:b/>
          <w:bCs/>
          <w:sz w:val="28"/>
          <w:szCs w:val="28"/>
        </w:rPr>
        <w:t xml:space="preserve">2.3 Економічна поверхня впливу</w:t>
      </w:r>
    </w:p>
    <w:p>
      <w:pPr>
        <w:spacing w:before="100" w:after="100"/>
        <w:jc w:val="both"/>
      </w:pPr>
      <w:r>
        <w:rPr>
          <w:rFonts w:ascii="Arial" w:cs="Arial" w:eastAsia="Arial" w:hAnsi="Arial"/>
          <w:sz w:val="22"/>
          <w:szCs w:val="22"/>
        </w:rPr>
        <w:t xml:space="preserve">Економічна шкода від колапсу RSA-інфраструктури зумовлена не стільки компрометацією окремих облікових записів (значною, але виправною), скільки системним збоєм довіри. Фінансова система залежить від криптографічної довіри як інфраструктури, а не лише як функції безпеки.</w:t>
      </w:r>
    </w:p>
    <w:p>
      <w:pPr>
        <w:pStyle w:val="ListParagraph"/>
        <w:numPr>
          <w:ilvl w:val="0"/>
          <w:numId w:val="2"/>
        </w:numPr>
        <w:spacing w:before="60" w:after="60"/>
      </w:pPr>
      <w:r>
        <w:rPr>
          <w:rFonts w:ascii="Arial" w:cs="Arial" w:eastAsia="Arial" w:hAnsi="Arial"/>
          <w:sz w:val="22"/>
          <w:szCs w:val="22"/>
        </w:rPr>
        <w:t xml:space="preserve">Глобальна цифрова комерція, залежна від TLS: приблизно $5,8 трлн на рік (оцінки 2025 р.)</w:t>
      </w:r>
    </w:p>
    <w:p>
      <w:pPr>
        <w:pStyle w:val="ListParagraph"/>
        <w:numPr>
          <w:ilvl w:val="0"/>
          <w:numId w:val="2"/>
        </w:numPr>
        <w:spacing w:before="60" w:after="60"/>
      </w:pPr>
      <w:r>
        <w:rPr>
          <w:rFonts w:ascii="Arial" w:cs="Arial" w:eastAsia="Arial" w:hAnsi="Arial"/>
          <w:sz w:val="22"/>
          <w:szCs w:val="22"/>
        </w:rPr>
        <w:t xml:space="preserve">Активи, що зберігаються в системах під захистом RSA: за оцінками $80–120 трлн у світі</w:t>
      </w:r>
    </w:p>
    <w:p>
      <w:pPr>
        <w:pStyle w:val="ListParagraph"/>
        <w:numPr>
          <w:ilvl w:val="0"/>
          <w:numId w:val="2"/>
        </w:numPr>
        <w:spacing w:before="60" w:after="60"/>
      </w:pPr>
      <w:r>
        <w:rPr>
          <w:rFonts w:ascii="Arial" w:cs="Arial" w:eastAsia="Arial" w:hAnsi="Arial"/>
          <w:sz w:val="22"/>
          <w:szCs w:val="22"/>
        </w:rPr>
        <w:t xml:space="preserve">Ринкова капіталізація криптовалют із вразливостями, еквівалентними RSA (ECDSA): приблизно $2–3 трлн за поточними оцінками</w:t>
      </w:r>
    </w:p>
    <w:p>
      <w:pPr>
        <w:pStyle w:val="ListParagraph"/>
        <w:numPr>
          <w:ilvl w:val="0"/>
          <w:numId w:val="2"/>
        </w:numPr>
        <w:spacing w:before="60" w:after="60"/>
      </w:pPr>
      <w:r>
        <w:rPr>
          <w:rFonts w:ascii="Arial" w:cs="Arial" w:eastAsia="Arial" w:hAnsi="Arial"/>
          <w:sz w:val="22"/>
          <w:szCs w:val="22"/>
        </w:rPr>
        <w:t xml:space="preserve">Виконання контрактів, системи посвідчення особи та нотаріату у світі: за оцінками $10–20 трлн у річному обсязі транзакцій</w:t>
      </w:r>
    </w:p>
    <w:p>
      <w:pPr>
        <w:pStyle w:val="ListParagraph"/>
        <w:numPr>
          <w:ilvl w:val="0"/>
          <w:numId w:val="2"/>
        </w:numPr>
        <w:spacing w:before="60" w:after="60"/>
      </w:pPr>
      <w:r>
        <w:rPr>
          <w:rFonts w:ascii="Arial" w:cs="Arial" w:eastAsia="Arial" w:hAnsi="Arial"/>
          <w:sz w:val="22"/>
          <w:szCs w:val="22"/>
        </w:rPr>
        <w:t xml:space="preserve">Міжбанківські розрахункові системи: від $1 до $5 трлн на день лише в SWIFT</w:t>
      </w:r>
    </w:p>
    <w:p>
      <w:pPr>
        <w:spacing w:before="100" w:after="100"/>
        <w:jc w:val="both"/>
      </w:pPr>
      <w:r>
        <w:rPr>
          <w:rFonts w:ascii="Arial" w:cs="Arial" w:eastAsia="Arial" w:hAnsi="Arial"/>
          <w:sz w:val="22"/>
          <w:szCs w:val="22"/>
        </w:rPr>
        <w:t xml:space="preserve">Економічний сценарій — не знищення цих цінностей, а їхнє тимчасове заморожування під час заміни криптографічної інфраструктури. Навіть шестимісячний період невизначеності щодо цілісності цифрових підписів спричинить потрясіння на фінансових ринках, порівняні з кризою 2008 року — з додатковою особливістю, що проблему неможливо вирішити шляхом вливання ліквідності центральним банком.</w:t>
      </w:r>
    </w:p>
    <w:p>
      <w:pPr>
        <w:pStyle w:val="Heading2"/>
        <w:spacing w:before="280" w:after="160"/>
      </w:pPr>
      <w:r>
        <w:rPr>
          <w:rFonts w:ascii="Arial" w:cs="Arial" w:eastAsia="Arial" w:hAnsi="Arial"/>
          <w:b/>
          <w:bCs/>
          <w:sz w:val="28"/>
          <w:szCs w:val="28"/>
        </w:rPr>
        <w:t xml:space="preserve">2.4 Криптографічні альтернативи на основі CCDR</w:t>
      </w:r>
    </w:p>
    <w:p>
      <w:pPr>
        <w:spacing w:before="100" w:after="100"/>
        <w:jc w:val="both"/>
      </w:pPr>
      <w:r>
        <w:rPr>
          <w:rFonts w:ascii="Arial" w:cs="Arial" w:eastAsia="Arial" w:hAnsi="Arial"/>
          <w:sz w:val="22"/>
          <w:szCs w:val="22"/>
        </w:rPr>
        <w:t xml:space="preserve">Оптичний фотонний сектор CCDR та субстрат кубітів темного сектора забезпечують фізично окремий криптографічний шлях. Відповідна властивість полягає в тому, що кубіти темного сектора — якщо їх можна реалізувати відповідно до прогнозів CCDR щодо об'ємного гравітаційного зв'язку — будуть несприйнятливі до обчислювальних атак із боку будь-якої системи, що працює в акустичному секторі Стандартної Моделі.</w:t>
      </w:r>
    </w:p>
    <w:p>
      <w:pPr>
        <w:spacing w:before="100" w:after="100"/>
        <w:jc w:val="both"/>
      </w:pPr>
      <w:r>
        <w:rPr>
          <w:rFonts w:ascii="Arial" w:cs="Arial" w:eastAsia="Arial" w:hAnsi="Arial"/>
          <w:sz w:val="22"/>
          <w:szCs w:val="22"/>
        </w:rPr>
        <w:t xml:space="preserve">Це не постквантова криптографія в традиційному розумінні (алгоритми на основі решіток, хешів або кодів, стійкі до квантових атак). Це криптографія з принципово іншою фізичною основою — та, чия безпека випливає з тієї ж фізики, що робить темну матерію невидимою для детекторів Стандартної Моделі.</w:t>
      </w:r>
    </w:p>
    <w:p>
      <w:pPr>
        <w:spacing w:before="100" w:after="100"/>
        <w:jc w:val="both"/>
      </w:pPr>
      <w:r>
        <w:rPr>
          <w:rFonts w:ascii="Arial" w:cs="Arial" w:eastAsia="Arial" w:hAnsi="Arial"/>
          <w:sz w:val="22"/>
          <w:szCs w:val="22"/>
        </w:rPr>
        <w:t xml:space="preserve">Момент Перл-стріт для криптографії темного сектора — перша демонстрація комерційно придатного кубіта темного сектора, що підтримує когерентність упродовж однієї секунди за кімнатної температури — запустить миттєвий перерозподіл капіталу історичних масштабів.</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Частина ІІІ: Енергетика та матеріали — інженерний дивіденд CCDR</w:t>
      </w:r>
    </w:p>
    <w:p>
      <w:pPr>
        <w:pStyle w:val="Heading2"/>
        <w:spacing w:before="280" w:after="160"/>
      </w:pPr>
      <w:r>
        <w:rPr>
          <w:rFonts w:ascii="Arial" w:cs="Arial" w:eastAsia="Arial" w:hAnsi="Arial"/>
          <w:b/>
          <w:bCs/>
          <w:sz w:val="28"/>
          <w:szCs w:val="28"/>
        </w:rPr>
        <w:t xml:space="preserve">3.1 Вакуумна енергія як економічна змінна</w:t>
      </w:r>
    </w:p>
    <w:p>
      <w:pPr>
        <w:spacing w:before="100" w:after="100"/>
        <w:jc w:val="both"/>
      </w:pPr>
      <w:r>
        <w:rPr>
          <w:rFonts w:ascii="Arial" w:cs="Arial" w:eastAsia="Arial" w:hAnsi="Arial"/>
          <w:sz w:val="22"/>
          <w:szCs w:val="22"/>
        </w:rPr>
        <w:t xml:space="preserve">Трактування CCDR темної енергії як нульової точкової енергії просторово-часового часового кристала (ρ_vac ∝ H², що пробігає з параметром Хаббла) припускає, що щільність вакуумної енергії є не космологічною константою, а термодинамічно доступною величиною, чий локальний градієнт теоретично можна використовувати. Аналог де Ситтеровського випромінювання (T_dS = ℏH/2πkc) вказує на радіаційну ванну, що пронизує весь простір при T ≈ 2,3×10⁻³⁰ K — набагато нижче будь-якого доступного інженерного порогу.</w:t>
      </w:r>
    </w:p>
    <w:p>
      <w:pPr>
        <w:spacing w:before="100" w:after="100"/>
        <w:jc w:val="both"/>
      </w:pPr>
      <w:r>
        <w:rPr>
          <w:rFonts w:ascii="Arial" w:cs="Arial" w:eastAsia="Arial" w:hAnsi="Arial"/>
          <w:sz w:val="22"/>
          <w:szCs w:val="22"/>
        </w:rPr>
        <w:t xml:space="preserve">Однак інженерна значущість CCDR полягає не в прямому вилученні вакуумної енергії, а в наслідках для проектування матеріалів. Якщо просторово-часовий простір має кристалографічну структуру на масштабі BAO, то існують фотонні моди самого вакууму, що можуть зв'язуватись із коливаннями кристалічної решітки матеріалу. Це механізм CCDR для надпровідності за кімнатної температури: проектування симетрій кристалів матеріалів для резонансного зв'язку з оптичним фотонним сектором вакууму.</w:t>
      </w:r>
    </w:p>
    <w:p>
      <w:pPr>
        <w:pStyle w:val="Heading2"/>
        <w:spacing w:before="280" w:after="160"/>
      </w:pPr>
      <w:r>
        <w:rPr>
          <w:rFonts w:ascii="Arial" w:cs="Arial" w:eastAsia="Arial" w:hAnsi="Arial"/>
          <w:b/>
          <w:bCs/>
          <w:sz w:val="28"/>
          <w:szCs w:val="28"/>
        </w:rPr>
        <w:t xml:space="preserve">3.2 Каскад порушення в енергетичному секторі</w:t>
      </w:r>
    </w:p>
    <w:p>
      <w:pPr>
        <w:spacing w:before="100" w:after="100"/>
        <w:jc w:val="both"/>
      </w:pPr>
      <w:r>
        <w:rPr>
          <w:rFonts w:ascii="Arial" w:cs="Arial" w:eastAsia="Arial" w:hAnsi="Arial"/>
          <w:sz w:val="22"/>
          <w:szCs w:val="22"/>
        </w:rPr>
        <w:t xml:space="preserve">Глобальна передача енергії втрачає приблизно 8-15% виробленої електроенергії через опір у лініях електропередачі (Міжнародне енергетичне агентство). При $6 трлн річного обсягу світового ринку електроенергії, це становить $480-900 млрд щорічних втрат. Надпровідна передача за кімнатної температури повністю усуває ці втрати.</w:t>
      </w:r>
    </w:p>
    <w:p>
      <w:pPr>
        <w:pStyle w:val="ListParagraph"/>
        <w:numPr>
          <w:ilvl w:val="0"/>
          <w:numId w:val="2"/>
        </w:numPr>
        <w:spacing w:before="60" w:after="60"/>
      </w:pPr>
      <w:r>
        <w:rPr>
          <w:rFonts w:ascii="Arial" w:cs="Arial" w:eastAsia="Arial" w:hAnsi="Arial"/>
          <w:sz w:val="22"/>
          <w:szCs w:val="22"/>
        </w:rPr>
        <w:t xml:space="preserve">Термоядерна енергія: Основне інженерне вузьке місце для комерційно життєздатного термоядерного синтезу — технологія магнітів. Надпровідні магніти за кімнатної температури знизять капітальні витрати термоядерних установок на оцінні 40-60%, зробивши термоядерний синтез економічно конкурентоспроможним з природним газом протягом 5-10 років після прориву в матеріалах</w:t>
      </w:r>
    </w:p>
    <w:p>
      <w:pPr>
        <w:pStyle w:val="ListParagraph"/>
        <w:numPr>
          <w:ilvl w:val="0"/>
          <w:numId w:val="2"/>
        </w:numPr>
        <w:spacing w:before="60" w:after="60"/>
      </w:pPr>
      <w:r>
        <w:rPr>
          <w:rFonts w:ascii="Arial" w:cs="Arial" w:eastAsia="Arial" w:hAnsi="Arial"/>
          <w:sz w:val="22"/>
          <w:szCs w:val="22"/>
        </w:rPr>
        <w:t xml:space="preserve">Електродвигуни: 45% світового споживання електроенергії приводить двигуни. Надпровідні двигуни усувають втрати опору ротора, підвищуючи ефективність на 15-25% у всьому цьому секторі</w:t>
      </w:r>
    </w:p>
    <w:p>
      <w:pPr>
        <w:pStyle w:val="ListParagraph"/>
        <w:numPr>
          <w:ilvl w:val="0"/>
          <w:numId w:val="2"/>
        </w:numPr>
        <w:spacing w:before="60" w:after="60"/>
      </w:pPr>
      <w:r>
        <w:rPr>
          <w:rFonts w:ascii="Arial" w:cs="Arial" w:eastAsia="Arial" w:hAnsi="Arial"/>
          <w:sz w:val="22"/>
          <w:szCs w:val="22"/>
        </w:rPr>
        <w:t xml:space="preserve">Транспорт на магнітній левітації: Магнітний підвіс стає економічно доцільним для вантажних перевезень на міжконтинентальному масштабі за допомогою надпровідних рейок за кімнатної температури</w:t>
      </w:r>
    </w:p>
    <w:p>
      <w:pPr>
        <w:pStyle w:val="ListParagraph"/>
        <w:numPr>
          <w:ilvl w:val="0"/>
          <w:numId w:val="2"/>
        </w:numPr>
        <w:spacing w:before="60" w:after="60"/>
      </w:pPr>
      <w:r>
        <w:rPr>
          <w:rFonts w:ascii="Arial" w:cs="Arial" w:eastAsia="Arial" w:hAnsi="Arial"/>
          <w:sz w:val="22"/>
          <w:szCs w:val="22"/>
        </w:rPr>
        <w:t xml:space="preserve">Медична візуалізація: Витрати на магніти МРТ становлять 40-60% загальної вартості системи МРТ; надпровідні магніти за кімнатної температури демократизують доступ до МРТ у всьому світі</w:t>
      </w:r>
    </w:p>
    <w:p>
      <w:pPr>
        <w:pStyle w:val="ListParagraph"/>
        <w:numPr>
          <w:ilvl w:val="0"/>
          <w:numId w:val="2"/>
        </w:numPr>
        <w:spacing w:before="60" w:after="60"/>
      </w:pPr>
      <w:r>
        <w:rPr>
          <w:rFonts w:ascii="Arial" w:cs="Arial" w:eastAsia="Arial" w:hAnsi="Arial"/>
          <w:sz w:val="22"/>
          <w:szCs w:val="22"/>
        </w:rPr>
        <w:t xml:space="preserve">Центри обробки даних: Приблизно 200-250 ТВт·год на рік споживають глобальні центри обробки даних; надпровідні міжз'єднання та фотонне охолодження від управління теплом CCDR можуть знизити це на 60-80%</w:t>
      </w:r>
    </w:p>
    <w:p>
      <w:pPr>
        <w:pStyle w:val="Heading2"/>
        <w:spacing w:before="280" w:after="160"/>
      </w:pPr>
      <w:r>
        <w:rPr>
          <w:rFonts w:ascii="Arial" w:cs="Arial" w:eastAsia="Arial" w:hAnsi="Arial"/>
          <w:b/>
          <w:bCs/>
          <w:sz w:val="28"/>
          <w:szCs w:val="28"/>
        </w:rPr>
        <w:t xml:space="preserve">3.3 Фотонні обчислення: постсиліконова економіка</w:t>
      </w:r>
    </w:p>
    <w:p>
      <w:pPr>
        <w:spacing w:before="100" w:after="100"/>
        <w:jc w:val="both"/>
      </w:pPr>
      <w:r>
        <w:rPr>
          <w:rFonts w:ascii="Arial" w:cs="Arial" w:eastAsia="Arial" w:hAnsi="Arial"/>
          <w:sz w:val="22"/>
          <w:szCs w:val="22"/>
        </w:rPr>
        <w:t xml:space="preserve">Кристалічна система координат CCDR передбачає, що фонони — квантовані коливання решітки — можуть переносити та обробляти інформацію в оптичному фотонному секторі з властивостями, недоступними для електронів. Оптичні фонони в кристалах, розроблених за CCDR, поширюються зі швидкостями, проміжними між акустичними фононами та електронами, розсіюють тепло когерентно, а не випадково (що дозволяє спрямоване управління теплом), і можуть бути обмежені топологічними дефектами в кристалічній решітці.</w:t>
      </w:r>
    </w:p>
    <w:p>
      <w:pPr>
        <w:spacing w:before="100" w:after="100"/>
        <w:jc w:val="both"/>
      </w:pPr>
      <w:r>
        <w:rPr>
          <w:rFonts w:ascii="Arial" w:cs="Arial" w:eastAsia="Arial" w:hAnsi="Arial"/>
          <w:sz w:val="22"/>
          <w:szCs w:val="22"/>
        </w:rPr>
        <w:t xml:space="preserve">Економічна імплікація фотонних обчислень — це не просто швидші комп'ютери. Це інша структура витрат для обчислень. Кремнієва електроніка вимагає:</w:t>
      </w:r>
    </w:p>
    <w:p>
      <w:pPr>
        <w:pStyle w:val="ListParagraph"/>
        <w:numPr>
          <w:ilvl w:val="0"/>
          <w:numId w:val="2"/>
        </w:numPr>
        <w:spacing w:before="60" w:after="60"/>
      </w:pPr>
      <w:r>
        <w:rPr>
          <w:rFonts w:ascii="Arial" w:cs="Arial" w:eastAsia="Arial" w:hAnsi="Arial"/>
          <w:sz w:val="22"/>
          <w:szCs w:val="22"/>
        </w:rPr>
        <w:t xml:space="preserve">Прецизійну літографію в нанометровому масштабі (машини EUV ASML: $380 млн кожна, 3-5 років терміну виконання)</w:t>
      </w:r>
    </w:p>
    <w:p>
      <w:pPr>
        <w:pStyle w:val="ListParagraph"/>
        <w:numPr>
          <w:ilvl w:val="0"/>
          <w:numId w:val="2"/>
        </w:numPr>
        <w:spacing w:before="60" w:after="60"/>
      </w:pPr>
      <w:r>
        <w:rPr>
          <w:rFonts w:ascii="Arial" w:cs="Arial" w:eastAsia="Arial" w:hAnsi="Arial"/>
          <w:sz w:val="22"/>
          <w:szCs w:val="22"/>
        </w:rPr>
        <w:t xml:space="preserve">Надчисте виробництво кремнію (щільність дефектів нижче 1 на кв. см)</w:t>
      </w:r>
    </w:p>
    <w:p>
      <w:pPr>
        <w:pStyle w:val="ListParagraph"/>
        <w:numPr>
          <w:ilvl w:val="0"/>
          <w:numId w:val="2"/>
        </w:numPr>
        <w:spacing w:before="60" w:after="60"/>
      </w:pPr>
      <w:r>
        <w:rPr>
          <w:rFonts w:ascii="Arial" w:cs="Arial" w:eastAsia="Arial" w:hAnsi="Arial"/>
          <w:sz w:val="22"/>
          <w:szCs w:val="22"/>
        </w:rPr>
        <w:t xml:space="preserve">Активні системи охолодження, що споживають 40-50% загальної потужності центру обробки даних</w:t>
      </w:r>
    </w:p>
    <w:p>
      <w:pPr>
        <w:pStyle w:val="ListParagraph"/>
        <w:numPr>
          <w:ilvl w:val="0"/>
          <w:numId w:val="2"/>
        </w:numPr>
        <w:spacing w:before="60" w:after="60"/>
      </w:pPr>
      <w:r>
        <w:rPr>
          <w:rFonts w:ascii="Arial" w:cs="Arial" w:eastAsia="Arial" w:hAnsi="Arial"/>
          <w:sz w:val="22"/>
          <w:szCs w:val="22"/>
        </w:rPr>
        <w:t xml:space="preserve">Масову концентрацію капіталу (TSMC, Samsung, Intel — олігополія з вимогами до капексу понад $100 млрд)</w:t>
      </w:r>
    </w:p>
    <w:p>
      <w:pPr>
        <w:spacing w:before="100" w:after="100"/>
        <w:jc w:val="both"/>
      </w:pPr>
      <w:r>
        <w:rPr>
          <w:rFonts w:ascii="Arial" w:cs="Arial" w:eastAsia="Arial" w:hAnsi="Arial"/>
          <w:sz w:val="22"/>
          <w:szCs w:val="22"/>
        </w:rPr>
        <w:t xml:space="preserve">Фотонні обчислення на кристалічних субстратах, розроблених за CCDR, могли б перемістити обчислення до матеріалів, що є кристалографічно проектованими без EUV літографії, самоохолоджуючих через когерентне управління фонами, з вимогами до капіталу на порядки нижчими, ніж у кремнієвих заводів, та придатних для розгортання на розподіленій архітектурі FPGA/Raspberry Pi, яку jneopallium вже використовує.</w:t>
      </w:r>
    </w:p>
    <w:p>
      <w:pPr>
        <w:spacing w:before="100" w:after="100"/>
        <w:jc w:val="both"/>
      </w:pPr>
      <w:r>
        <w:rPr>
          <w:rFonts w:ascii="Arial" w:cs="Arial" w:eastAsia="Arial" w:hAnsi="Arial"/>
          <w:sz w:val="22"/>
          <w:szCs w:val="22"/>
        </w:rPr>
        <w:t xml:space="preserve">Економічний наслідок — радикальна децентралізація обчислювальних потужностей, що безпосередньо підриває концентрацію капіталу, яка наразі робить ШІ інструментом великих інститутів, а не малих суб'єктів чи окремих осіб.</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Частина IV: Інверсія структури капіталу — когерентність як основний товар</w:t>
      </w:r>
    </w:p>
    <w:p>
      <w:pPr>
        <w:pStyle w:val="Heading2"/>
        <w:spacing w:before="280" w:after="160"/>
      </w:pPr>
      <w:r>
        <w:rPr>
          <w:rFonts w:ascii="Arial" w:cs="Arial" w:eastAsia="Arial" w:hAnsi="Arial"/>
          <w:b/>
          <w:bCs/>
          <w:sz w:val="28"/>
          <w:szCs w:val="28"/>
        </w:rPr>
        <w:t xml:space="preserve">4.1 Що когерентність означає економічно</w:t>
      </w:r>
    </w:p>
    <w:p>
      <w:pPr>
        <w:spacing w:before="100" w:after="100"/>
        <w:jc w:val="both"/>
      </w:pPr>
      <w:r>
        <w:rPr>
          <w:rFonts w:ascii="Arial" w:cs="Arial" w:eastAsia="Arial" w:hAnsi="Arial"/>
          <w:sz w:val="22"/>
          <w:szCs w:val="22"/>
        </w:rPr>
        <w:t xml:space="preserve">У системі координат CCDR когерентність відноситься до ступеня фазово-організованого, невипадкового порядку у фізичній або інформаційній системі — чи то квантова когерентність в обчислювальному субстраті, фотонна когерентність в кристалічній решітці, чи інформаційна когерентність у нейронній архітектурі. Економічна значущість полягає в тому, що когерентність є продуктивною (саме вона робить квантові комп'ютери потужнішими за класичні, надпровідники — кращими провідниками, jneopallium — ефективнішим за трансформерні архітектури) і вона є дефіцитною — підтримка когерентності вимагає специфічних умов, специфічних матеріалів та специфічного проектування.</w:t>
      </w:r>
    </w:p>
    <w:p>
      <w:pPr>
        <w:spacing w:before="100" w:after="100"/>
        <w:jc w:val="both"/>
      </w:pPr>
      <w:r>
        <w:rPr>
          <w:rFonts w:ascii="Arial" w:cs="Arial" w:eastAsia="Arial" w:hAnsi="Arial"/>
          <w:sz w:val="22"/>
          <w:szCs w:val="22"/>
        </w:rPr>
        <w:t xml:space="preserve">Перехід від енергії як основного товару до когерентності як основного товару є якісним зрушенням в тому, за що економічні суб'єкти в кінцевому рахунку конкурують. В індустріальній економіці дефіцитним ресурсом була енергія (вугілля, нафта). В економіці знань дефіцитним ресурсом була організована інформація (патенти, програмне забезпечення, дані). В економіці когерентності дефіцитним ресурсом є організований фізичний порядок — специфічні кристалографічні, квантові або інформаційні конфігурації, що дозволяють системам функціонувати без дисипативних втрат.</w:t>
      </w:r>
    </w:p>
    <w:p>
      <w:pPr>
        <w:pStyle w:val="Heading2"/>
        <w:spacing w:before="280" w:after="160"/>
      </w:pPr>
      <w:r>
        <w:rPr>
          <w:rFonts w:ascii="Arial" w:cs="Arial" w:eastAsia="Arial" w:hAnsi="Arial"/>
          <w:b/>
          <w:bCs/>
          <w:sz w:val="28"/>
          <w:szCs w:val="28"/>
        </w:rPr>
        <w:t xml:space="preserve">4.2 Структура власності в економіці когерентності</w:t>
      </w:r>
    </w:p>
    <w:p>
      <w:pPr>
        <w:spacing w:before="100" w:after="100"/>
        <w:jc w:val="both"/>
      </w:pPr>
      <w:r>
        <w:rPr>
          <w:rFonts w:ascii="Arial" w:cs="Arial" w:eastAsia="Arial" w:hAnsi="Arial"/>
          <w:sz w:val="22"/>
          <w:szCs w:val="22"/>
        </w:rPr>
        <w:t xml:space="preserve">Економічні властивості когерентності відрізняються від енергії та інформації способами, що визначають її політичну економію:</w:t>
      </w:r>
    </w:p>
    <w:p>
      <w:pPr>
        <w:pStyle w:val="ListParagraph"/>
        <w:numPr>
          <w:ilvl w:val="0"/>
          <w:numId w:val="2"/>
        </w:numPr>
        <w:spacing w:before="60" w:after="60"/>
      </w:pPr>
      <w:r>
        <w:rPr>
          <w:rFonts w:ascii="Arial" w:cs="Arial" w:eastAsia="Arial" w:hAnsi="Arial"/>
          <w:sz w:val="22"/>
          <w:szCs w:val="22"/>
        </w:rPr>
        <w:t xml:space="preserve">Частково незмагальна: На відміну від енергії, використання когерентного кристалічного субстрату для обчислень не споживає субстрат. Як програмне забезпечення, граничні витрати на реплікацію близькі до нуля, як тільки дизайн існує.</w:t>
      </w:r>
    </w:p>
    <w:p>
      <w:pPr>
        <w:pStyle w:val="ListParagraph"/>
        <w:numPr>
          <w:ilvl w:val="0"/>
          <w:numId w:val="2"/>
        </w:numPr>
        <w:spacing w:before="60" w:after="60"/>
      </w:pPr>
      <w:r>
        <w:rPr>
          <w:rFonts w:ascii="Arial" w:cs="Arial" w:eastAsia="Arial" w:hAnsi="Arial"/>
          <w:sz w:val="22"/>
          <w:szCs w:val="22"/>
        </w:rPr>
        <w:t xml:space="preserve">Але також сильно виключна: На відміну від програмного забезпечення, яке можна нескінченно копіювати, підтримка когерентності вимагає фізичних субстратів зі специфічними властивостями. Їх не можна тривіально реплікувати без виробничих потужностей.</w:t>
      </w:r>
    </w:p>
    <w:p>
      <w:pPr>
        <w:pStyle w:val="ListParagraph"/>
        <w:numPr>
          <w:ilvl w:val="0"/>
          <w:numId w:val="2"/>
        </w:numPr>
        <w:spacing w:before="60" w:after="60"/>
      </w:pPr>
      <w:r>
        <w:rPr>
          <w:rFonts w:ascii="Arial" w:cs="Arial" w:eastAsia="Arial" w:hAnsi="Arial"/>
          <w:sz w:val="22"/>
          <w:szCs w:val="22"/>
        </w:rPr>
        <w:t xml:space="preserve">Доповнює до ШІ: Когерентні обчислювальні субстрати — це саме те, що потрібно нейроморфному ШІ класу jneopallium для ефективного розгортання. Це створює доброчесний цикл для ранніх користувачів і бар'єр для тих, хто прийде пізніше.</w:t>
      </w:r>
    </w:p>
    <w:p>
      <w:pPr>
        <w:pStyle w:val="ListParagraph"/>
        <w:numPr>
          <w:ilvl w:val="0"/>
          <w:numId w:val="2"/>
        </w:numPr>
        <w:spacing w:before="60" w:after="60"/>
      </w:pPr>
      <w:r>
        <w:rPr>
          <w:rFonts w:ascii="Arial" w:cs="Arial" w:eastAsia="Arial" w:hAnsi="Arial"/>
          <w:sz w:val="22"/>
          <w:szCs w:val="22"/>
        </w:rPr>
        <w:t xml:space="preserve">Географічно розподілена: На відміну від нафти або рідкісних земель, вакуумний фотонний сектор присутній скрізь. Виробництво кристалів, розроблених за CCDR, вимагає навичок та дизайну, а не географічного контролю над ресурсами. Це потенційно демократизуючий чинник.</w:t>
      </w:r>
    </w:p>
    <w:p>
      <w:pPr>
        <w:pStyle w:val="Heading2"/>
        <w:spacing w:before="280" w:after="160"/>
      </w:pPr>
      <w:r>
        <w:rPr>
          <w:rFonts w:ascii="Arial" w:cs="Arial" w:eastAsia="Arial" w:hAnsi="Arial"/>
          <w:b/>
          <w:bCs/>
          <w:sz w:val="28"/>
          <w:szCs w:val="28"/>
        </w:rPr>
        <w:t xml:space="preserve">4.3 Валюта, борг та грошова система</w:t>
      </w:r>
    </w:p>
    <w:p>
      <w:pPr>
        <w:spacing w:before="100" w:after="100"/>
        <w:jc w:val="both"/>
      </w:pPr>
      <w:r>
        <w:rPr>
          <w:rFonts w:ascii="Arial" w:cs="Arial" w:eastAsia="Arial" w:hAnsi="Arial"/>
          <w:sz w:val="22"/>
          <w:szCs w:val="22"/>
        </w:rPr>
        <w:t xml:space="preserve">Перетин квантової криптографічної вразливості (Частина ІІ) та автономних економічних агентів ШІ (Частина І) створює фундаментальний виклик для грошових систем. Сучасні гроші — це врешті-решт система скоординованої довіри, підтримуваної через криптографічно захищені записи та державне примусове виконання. Обидва стовпи зазнають одночасного тиску.</w:t>
      </w:r>
    </w:p>
    <w:p>
      <w:pPr>
        <w:spacing w:before="100" w:after="100"/>
        <w:jc w:val="both"/>
      </w:pPr>
      <w:r>
        <w:rPr>
          <w:rFonts w:ascii="Arial" w:cs="Arial" w:eastAsia="Arial" w:hAnsi="Arial"/>
          <w:sz w:val="22"/>
          <w:szCs w:val="22"/>
        </w:rPr>
        <w:t xml:space="preserve">Якщо RSA-інфраструктура стає вразливою до заміни криптографії, цілісність цифрових грошових записів стає спірною. Центральні банки публічно не моделювали цей сценарій. Перехід Федеральної резервної системи до постквантової криптографії оцінюється в 10-15 років. Міграція застарілої банківської інфраструктури вимірюється десятиліттями, а не роками.</w:t>
      </w:r>
    </w:p>
    <w:p>
      <w:pPr>
        <w:spacing w:before="100" w:after="100"/>
        <w:jc w:val="both"/>
      </w:pPr>
      <w:r>
        <w:rPr>
          <w:rFonts w:ascii="Arial" w:cs="Arial" w:eastAsia="Arial" w:hAnsi="Arial"/>
          <w:sz w:val="22"/>
          <w:szCs w:val="22"/>
        </w:rPr>
        <w:t xml:space="preserve">Правдоподібний сценарій грошової кризи: державний або недержавний суб'єкт демонструє відновлення ключа RSA в інфраструктурі приватних ключів живого фінансового інституту. Це не вимагає злому всього RSA — лише демонстрації можливості. Вплив довіри на системи цифрових грошей буде негайним і серйозним, незалежно від того, чи стався фактичний злодійство.</w:t>
      </w:r>
    </w:p>
    <w:p>
      <w:pPr>
        <w:spacing w:before="100" w:after="100"/>
        <w:jc w:val="both"/>
      </w:pPr>
      <w:r>
        <w:rPr>
          <w:rFonts w:ascii="Arial" w:cs="Arial" w:eastAsia="Arial" w:hAnsi="Arial"/>
          <w:sz w:val="22"/>
          <w:szCs w:val="22"/>
        </w:rPr>
        <w:t xml:space="preserve">У цьому сценарії криптографія темного сектора CCDR, якщо вона буде доступна, являє собою не просто технічне оновлення, а варіант аварійної грошової інфраструктури. Центральні банки, які мають доступ до криптографічних протоколів темного сектора, можуть підтримувати грошову координацію навіть якщо криптографія Стандартної Моделі зазнає краху.</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Частина V: Геополітичні та воєнно-економічні наслідки</w:t>
      </w:r>
    </w:p>
    <w:p>
      <w:pPr>
        <w:pStyle w:val="Heading2"/>
        <w:spacing w:before="280" w:after="160"/>
      </w:pPr>
      <w:r>
        <w:rPr>
          <w:rFonts w:ascii="Arial" w:cs="Arial" w:eastAsia="Arial" w:hAnsi="Arial"/>
          <w:b/>
          <w:bCs/>
          <w:sz w:val="28"/>
          <w:szCs w:val="28"/>
        </w:rPr>
        <w:t xml:space="preserve">5.1 Динаміка першопроходця у військово-економічній сфері</w:t>
      </w:r>
    </w:p>
    <w:p>
      <w:pPr>
        <w:spacing w:before="100" w:after="100"/>
        <w:jc w:val="both"/>
      </w:pPr>
      <w:r>
        <w:rPr>
          <w:rFonts w:ascii="Arial" w:cs="Arial" w:eastAsia="Arial" w:hAnsi="Arial"/>
          <w:sz w:val="22"/>
          <w:szCs w:val="22"/>
        </w:rPr>
        <w:t xml:space="preserve">Поєднання автономного ШІ класу jneopallium та інженерних результатів CCDR створює військові можливості, які не просто кількісно перевершують існуючі системи, а є якісно відмінними. Відповідна відмінність для економічного аналізу — між можливостями, що вимагають людських операторів (які створюють попит на кваліфікований військовий персонал та відповідні ланцюги постачання), і можливостями, які цього не вимагають (що концентрують військову владу в капіталі, необхідному для виробництва систем).</w:t>
      </w:r>
    </w:p>
    <w:p>
      <w:pPr>
        <w:spacing w:before="100" w:after="100"/>
        <w:jc w:val="both"/>
      </w:pPr>
      <w:r>
        <w:rPr>
          <w:rFonts w:ascii="Arial" w:cs="Arial" w:eastAsia="Arial" w:hAnsi="Arial"/>
          <w:sz w:val="22"/>
          <w:szCs w:val="22"/>
        </w:rPr>
        <w:t xml:space="preserve">Держава з функціонуючими нейроморфними автономними системами військового ШІ — здатними до незалежного тактичного та стратегічного прийняття рішень, несприйнятливими до засобів електронної протидії, що націлені на людську когнітивну затримку, що функціонують зі швидкостями, що набагато перевищують людський час реакції — не має кількісної переваги над державами без таких систем. Вона має категоричну перевагу, порівнянну з ядерною зброєю, але без обмеження взаємного гарантованого знищення, яке стабілізує ядерне стримування.</w:t>
      </w:r>
    </w:p>
    <w:p>
      <w:pPr>
        <w:pStyle w:val="Heading2"/>
        <w:spacing w:before="280" w:after="160"/>
      </w:pPr>
      <w:r>
        <w:rPr>
          <w:rFonts w:ascii="Arial" w:cs="Arial" w:eastAsia="Arial" w:hAnsi="Arial"/>
          <w:b/>
          <w:bCs/>
          <w:sz w:val="28"/>
          <w:szCs w:val="28"/>
        </w:rPr>
        <w:t xml:space="preserve">5.2 Воєнна економіка та споживання за автономного ШІ</w:t>
      </w:r>
    </w:p>
    <w:p>
      <w:pPr>
        <w:spacing w:before="100" w:after="100"/>
        <w:jc w:val="both"/>
      </w:pPr>
      <w:r>
        <w:rPr>
          <w:rFonts w:ascii="Arial" w:cs="Arial" w:eastAsia="Arial" w:hAnsi="Arial"/>
          <w:sz w:val="22"/>
          <w:szCs w:val="22"/>
        </w:rPr>
        <w:t xml:space="preserve">Контекст України є безпосередньо релевантним тут. Воєнна економіка, в якій перебуває автор, має характеристики, що висвітлюють ширший перехід: екстремальна ресурсна нестача, що вимагає радикальної ефективності; швидкі технологічні цикли адаптації; розподілене виробництво в умовах конфлікту; і висока премія за автономні системи, що зменшують людський ризик. Це саме ті умови, в яких переваги економічної ефективності архітектури класу jneopallium є найбільш вираженими.</w:t>
      </w:r>
    </w:p>
    <w:p>
      <w:pPr>
        <w:spacing w:before="100" w:after="100"/>
        <w:jc w:val="both"/>
      </w:pPr>
      <w:r>
        <w:rPr>
          <w:rFonts w:ascii="Arial" w:cs="Arial" w:eastAsia="Arial" w:hAnsi="Arial"/>
          <w:sz w:val="22"/>
          <w:szCs w:val="22"/>
        </w:rPr>
        <w:t xml:space="preserve">Воєнна економіка на основі jneopallium дає такий економічний підпис:</w:t>
      </w:r>
    </w:p>
    <w:p>
      <w:pPr>
        <w:pStyle w:val="ListParagraph"/>
        <w:numPr>
          <w:ilvl w:val="0"/>
          <w:numId w:val="2"/>
        </w:numPr>
        <w:spacing w:before="60" w:after="60"/>
      </w:pPr>
      <w:r>
        <w:rPr>
          <w:rFonts w:ascii="Arial" w:cs="Arial" w:eastAsia="Arial" w:hAnsi="Arial"/>
          <w:sz w:val="22"/>
          <w:szCs w:val="22"/>
        </w:rPr>
        <w:t xml:space="preserve">Різко знижений попит на масове піхотне спорядження (найбільша складова воєнного попиту на працю)</w:t>
      </w:r>
    </w:p>
    <w:p>
      <w:pPr>
        <w:pStyle w:val="ListParagraph"/>
        <w:numPr>
          <w:ilvl w:val="0"/>
          <w:numId w:val="2"/>
        </w:numPr>
        <w:spacing w:before="60" w:after="60"/>
      </w:pPr>
      <w:r>
        <w:rPr>
          <w:rFonts w:ascii="Arial" w:cs="Arial" w:eastAsia="Arial" w:hAnsi="Arial"/>
          <w:sz w:val="22"/>
          <w:szCs w:val="22"/>
        </w:rPr>
        <w:t xml:space="preserve">Різко збільшений попит на сенсорні мережі, комунікаційну інфраструктуру та обчислювальні субстрати</w:t>
      </w:r>
    </w:p>
    <w:p>
      <w:pPr>
        <w:pStyle w:val="ListParagraph"/>
        <w:numPr>
          <w:ilvl w:val="0"/>
          <w:numId w:val="2"/>
        </w:numPr>
        <w:spacing w:before="60" w:after="60"/>
      </w:pPr>
      <w:r>
        <w:rPr>
          <w:rFonts w:ascii="Arial" w:cs="Arial" w:eastAsia="Arial" w:hAnsi="Arial"/>
          <w:sz w:val="22"/>
          <w:szCs w:val="22"/>
        </w:rPr>
        <w:t xml:space="preserve">Профіль енергоспоживання зміщується від нафтоємного (танки, авіація) до електроємного (автономні системи, центри обробки даних)</w:t>
      </w:r>
    </w:p>
    <w:p>
      <w:pPr>
        <w:pStyle w:val="ListParagraph"/>
        <w:numPr>
          <w:ilvl w:val="0"/>
          <w:numId w:val="2"/>
        </w:numPr>
        <w:spacing w:before="60" w:after="60"/>
      </w:pPr>
      <w:r>
        <w:rPr>
          <w:rFonts w:ascii="Arial" w:cs="Arial" w:eastAsia="Arial" w:hAnsi="Arial"/>
          <w:sz w:val="22"/>
          <w:szCs w:val="22"/>
        </w:rPr>
        <w:t xml:space="preserve">Логіка ланцюга постачання інвертується: замість захисту людських ліній постачання від перебоїв, основним стає захист обчислювальної інфраструктури від кібер- та фізичних атак</w:t>
      </w:r>
    </w:p>
    <w:p>
      <w:pPr>
        <w:spacing w:before="100" w:after="100"/>
        <w:jc w:val="both"/>
      </w:pPr>
      <w:r>
        <w:rPr>
          <w:rFonts w:ascii="Arial" w:cs="Arial" w:eastAsia="Arial" w:hAnsi="Arial"/>
          <w:sz w:val="22"/>
          <w:szCs w:val="22"/>
        </w:rPr>
        <w:t xml:space="preserve">Перехід від трудоємної до когерентноємної воєнної економіки безпосередньо відображається на цивільному економічному переході, проаналізованому в Частинах І–IV. Війна, що традиційно є каталізатором технологічного впровадження, може прискорити більш широкий перехід до когерентної економіки на десятиліття або більше.</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Частина VI: Архітектура політики для переходу до когерентності</w:t>
      </w:r>
    </w:p>
    <w:p>
      <w:pPr>
        <w:pStyle w:val="Heading2"/>
        <w:spacing w:before="280" w:after="160"/>
      </w:pPr>
      <w:r>
        <w:rPr>
          <w:rFonts w:ascii="Arial" w:cs="Arial" w:eastAsia="Arial" w:hAnsi="Arial"/>
          <w:b/>
          <w:bCs/>
          <w:sz w:val="28"/>
          <w:szCs w:val="28"/>
        </w:rPr>
        <w:t xml:space="preserve">6.1 Чому ринкового саморегулювання недостатньо</w:t>
      </w:r>
    </w:p>
    <w:p>
      <w:pPr>
        <w:spacing w:before="100" w:after="100"/>
        <w:jc w:val="both"/>
      </w:pPr>
      <w:r>
        <w:rPr>
          <w:rFonts w:ascii="Arial" w:cs="Arial" w:eastAsia="Arial" w:hAnsi="Arial"/>
          <w:sz w:val="22"/>
          <w:szCs w:val="22"/>
        </w:rPr>
        <w:t xml:space="preserve">Стандартна економічна теорія передбачає, що технологічне безробіття породжує компенсуючі механізми: дешевші товари підвищують реальну купівельну спроможність, переміщені працівники переходять до нових категорій, а нові галузі поглинають надлишкову робочу силу. Цей механізм вимагає двох умов, які перехід нейроморфного ШІ може не задовольнити: (1) горизонт часу, достатньо короткий, щоб перехід завершився до того, як знищення попиту стане самопідкріплюючим, і (2) існування нових трудових категорій, до яких людські працівники можуть перейти швидше, ніж системи ШІ зможуть наздогнати.</w:t>
      </w:r>
    </w:p>
    <w:p>
      <w:pPr>
        <w:spacing w:before="100" w:after="100"/>
        <w:jc w:val="both"/>
      </w:pPr>
      <w:r>
        <w:rPr>
          <w:rFonts w:ascii="Arial" w:cs="Arial" w:eastAsia="Arial" w:hAnsi="Arial"/>
          <w:sz w:val="22"/>
          <w:szCs w:val="22"/>
        </w:rPr>
        <w:t xml:space="preserve">Жодна з умов не гарантована у сценарії jneopallium. Архітектурна повнота нейроморфного ШІ — що охоплює увагу, пам'ять, планування, вибір дій та етичні міркування одночасно — усуває затримку, яка історично дозволяла людській праці знаходити нові ніші. Ринкова саморегуляція потребує часу; якщо швидкість розгортання перевищує швидкість адаптації, саморегуляція зазнає невдачі.</w:t>
      </w:r>
    </w:p>
    <w:p>
      <w:pPr>
        <w:pStyle w:val="Heading2"/>
        <w:spacing w:before="280" w:after="160"/>
      </w:pPr>
      <w:r>
        <w:rPr>
          <w:rFonts w:ascii="Arial" w:cs="Arial" w:eastAsia="Arial" w:hAnsi="Arial"/>
          <w:b/>
          <w:bCs/>
          <w:sz w:val="28"/>
          <w:szCs w:val="28"/>
        </w:rPr>
        <w:t xml:space="preserve">6.2 Загальний дивіденд когерентності</w:t>
      </w:r>
    </w:p>
    <w:p>
      <w:pPr>
        <w:spacing w:before="100" w:after="100"/>
        <w:jc w:val="both"/>
      </w:pPr>
      <w:r>
        <w:rPr>
          <w:rFonts w:ascii="Arial" w:cs="Arial" w:eastAsia="Arial" w:hAnsi="Arial"/>
          <w:sz w:val="22"/>
          <w:szCs w:val="22"/>
        </w:rPr>
        <w:t xml:space="preserve">Найперспективніша рамка політики для переходу до економіки когерентності поєднує елементи безумовного базового доходу з прямим зв'язком із приростами продуктивності від економіки когерентності. Концептуальна логіка: якщо основним дефіцитним ресурсом стає когерентність (кристалічні субстрати, квантові системи, нейроморфні можливості ШІ), а не праця, то соціальний дивіденд має бути деномінований у доступі до виробничих потужностей на основі когерентності, а не у фіатних валютних вимогах на трудовий дохід.</w:t>
      </w:r>
    </w:p>
    <w:p>
      <w:pPr>
        <w:spacing w:before="100" w:after="100"/>
        <w:jc w:val="both"/>
      </w:pPr>
      <w:r>
        <w:rPr>
          <w:rFonts w:ascii="Arial" w:cs="Arial" w:eastAsia="Arial" w:hAnsi="Arial"/>
          <w:sz w:val="22"/>
          <w:szCs w:val="22"/>
        </w:rPr>
        <w:t xml:space="preserve">Конкретно це означає:</w:t>
      </w:r>
    </w:p>
    <w:p>
      <w:pPr>
        <w:pStyle w:val="ListParagraph"/>
        <w:numPr>
          <w:ilvl w:val="0"/>
          <w:numId w:val="2"/>
        </w:numPr>
        <w:spacing w:before="60" w:after="60"/>
      </w:pPr>
      <w:r>
        <w:rPr>
          <w:rFonts w:ascii="Arial" w:cs="Arial" w:eastAsia="Arial" w:hAnsi="Arial"/>
          <w:sz w:val="22"/>
          <w:szCs w:val="22"/>
        </w:rPr>
        <w:t xml:space="preserve">Суспільна власність або регульований доступ до виробничої інфраструктури когерентності за аналогією з регулюванням державних монополій у галузі електричних мереж</w:t>
      </w:r>
    </w:p>
    <w:p>
      <w:pPr>
        <w:pStyle w:val="ListParagraph"/>
        <w:numPr>
          <w:ilvl w:val="0"/>
          <w:numId w:val="2"/>
        </w:numPr>
        <w:spacing w:before="60" w:after="60"/>
      </w:pPr>
      <w:r>
        <w:rPr>
          <w:rFonts w:ascii="Arial" w:cs="Arial" w:eastAsia="Arial" w:hAnsi="Arial"/>
          <w:sz w:val="22"/>
          <w:szCs w:val="22"/>
        </w:rPr>
        <w:t xml:space="preserve">Загальний розподіл обчислювальних потужностей (одиниць когерентності) як соціального права, що дозволяє кожному громадянину розгортати допомогу ШІ незалежно від доходу</w:t>
      </w:r>
    </w:p>
    <w:p>
      <w:pPr>
        <w:pStyle w:val="ListParagraph"/>
        <w:numPr>
          <w:ilvl w:val="0"/>
          <w:numId w:val="2"/>
        </w:numPr>
        <w:spacing w:before="60" w:after="60"/>
      </w:pPr>
      <w:r>
        <w:rPr>
          <w:rFonts w:ascii="Arial" w:cs="Arial" w:eastAsia="Arial" w:hAnsi="Arial"/>
          <w:sz w:val="22"/>
          <w:szCs w:val="22"/>
        </w:rPr>
        <w:t xml:space="preserve">Податки на автоматизацію, деноміновані як частка приросту продуктивності від систем когерентності, перерозподілені як доступ до когерентності, а не готівка</w:t>
      </w:r>
    </w:p>
    <w:p>
      <w:pPr>
        <w:pStyle w:val="ListParagraph"/>
        <w:numPr>
          <w:ilvl w:val="0"/>
          <w:numId w:val="2"/>
        </w:numPr>
        <w:spacing w:before="60" w:after="60"/>
      </w:pPr>
      <w:r>
        <w:rPr>
          <w:rFonts w:ascii="Arial" w:cs="Arial" w:eastAsia="Arial" w:hAnsi="Arial"/>
          <w:sz w:val="22"/>
          <w:szCs w:val="22"/>
        </w:rPr>
        <w:t xml:space="preserve">Міжнародна координація щодо переходу до квантової криптографії, зокрема для запобігання рівномірному розподілу сценарію грошової кризи між державами зі слабкішою цифровою інфраструктурою</w:t>
      </w:r>
    </w:p>
    <w:p>
      <w:pPr>
        <w:pStyle w:val="Heading2"/>
        <w:spacing w:before="280" w:after="160"/>
      </w:pPr>
      <w:r>
        <w:rPr>
          <w:rFonts w:ascii="Arial" w:cs="Arial" w:eastAsia="Arial" w:hAnsi="Arial"/>
          <w:b/>
          <w:bCs/>
          <w:sz w:val="28"/>
          <w:szCs w:val="28"/>
        </w:rPr>
        <w:t xml:space="preserve">6.3 Відкрита економіка когерентності</w:t>
      </w:r>
    </w:p>
    <w:p>
      <w:pPr>
        <w:spacing w:before="100" w:after="100"/>
        <w:jc w:val="both"/>
      </w:pPr>
      <w:r>
        <w:rPr>
          <w:rFonts w:ascii="Arial" w:cs="Arial" w:eastAsia="Arial" w:hAnsi="Arial"/>
          <w:sz w:val="22"/>
          <w:szCs w:val="22"/>
        </w:rPr>
        <w:t xml:space="preserve">Стратегічна архітектура jneopallium — відкрите джерело, розподілені (Raspberry Pi / FPGA-воркери через gRPC), біологічно правдоподібні, а не трансформерного масштабу — є не просто технічним вибором. Це позиція в галузі політичної економії. Нейроморфний ШІ з відкритим джерелом на товарному обладнанні означає, що основний актив когерентної економіки (когнітивні можливості ШІ) не може бути монополізований капіталоємними великими інститутами.</w:t>
      </w:r>
    </w:p>
    <w:p>
      <w:pPr>
        <w:spacing w:before="100" w:after="100"/>
        <w:jc w:val="both"/>
      </w:pPr>
      <w:r>
        <w:rPr>
          <w:rFonts w:ascii="Arial" w:cs="Arial" w:eastAsia="Arial" w:hAnsi="Arial"/>
          <w:sz w:val="22"/>
          <w:szCs w:val="22"/>
        </w:rPr>
        <w:t xml:space="preserve">Це економічна логіка, яка робить тезу про бульбашку LLM послідовною: великі трансформерні архітектури вимагають величезної концентрації капіталу (навчальні запуски, центри обробки даних, машини ASML). Коли рубіж архітектури переміщується до нейроморфних систем, придатних для розгортання на розподіленому обладнанні, капітальна перевага великих інститутів стає відповідальністю — вони оптимізовані для хибної парадигми. Момент Едісона для нейроморфного ШІ — це не перша система, яка працює, а перша система, яка працює на обладнанні, яке може розгорнути невелика команда в Харкові.</w:t>
      </w:r>
    </w:p>
    <w:p>
      <w:pPr>
        <w:spacing w:before="100" w:after="100"/>
        <w:jc w:val="both"/>
      </w:pPr>
      <w:r>
        <w:rPr>
          <w:rFonts w:ascii="Arial" w:cs="Arial" w:eastAsia="Arial" w:hAnsi="Arial"/>
          <w:sz w:val="22"/>
          <w:szCs w:val="22"/>
        </w:rPr>
        <w:t xml:space="preserve">Це вже теза jneopallium. Її економічне підтвердження залежить від термінів дефляції бульбашки LLM відносно дозрівання нейроморфних систем — і від того, чи прийде квантова криптографічна криза до або після переходу на постквантові та темно-секторні альтернативи.</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Висновок: Терміни, послідовність та критичний шлях</w:t>
      </w:r>
    </w:p>
    <w:p>
      <w:pPr>
        <w:spacing w:before="100" w:after="100"/>
        <w:jc w:val="both"/>
      </w:pPr>
      <w:r>
        <w:rPr>
          <w:rFonts w:ascii="Arial" w:cs="Arial" w:eastAsia="Arial" w:hAnsi="Arial"/>
          <w:sz w:val="22"/>
          <w:szCs w:val="22"/>
        </w:rPr>
        <w:t xml:space="preserve">Проаналізовані тут економічні наслідки не є незалежними. Вони утворюють послідовність, порядок якої визначає, чи дасть перехід сценарій буму когерентності або колапсу споживання. Критичний шлях:</w:t>
      </w:r>
    </w:p>
    <w:p>
      <w:pPr>
        <w:pStyle w:val="ListParagraph"/>
        <w:numPr>
          <w:ilvl w:val="0"/>
          <w:numId w:val="2"/>
        </w:numPr>
        <w:spacing w:before="60" w:after="60"/>
      </w:pPr>
      <w:r>
        <w:rPr>
          <w:rFonts w:ascii="Arial" w:cs="Arial" w:eastAsia="Arial" w:hAnsi="Arial"/>
          <w:sz w:val="22"/>
          <w:szCs w:val="22"/>
        </w:rPr>
        <w:t xml:space="preserve">Фаза 1 (2025–2030): Дефляція бульбашки LLM; ранні системи класу jneopallium демонструють можливості на розподіленому обладнанні; квантове обладнання продовжує масштабуватися; терміни вразливості RSA скорочуються; прогнози CCDR починають отримувати експериментальну увагу (DESI DR3/DR4, CMB-S4)</w:t>
      </w:r>
    </w:p>
    <w:p>
      <w:pPr>
        <w:pStyle w:val="ListParagraph"/>
        <w:numPr>
          <w:ilvl w:val="0"/>
          <w:numId w:val="2"/>
        </w:numPr>
        <w:spacing w:before="60" w:after="60"/>
      </w:pPr>
      <w:r>
        <w:rPr>
          <w:rFonts w:ascii="Arial" w:cs="Arial" w:eastAsia="Arial" w:hAnsi="Arial"/>
          <w:sz w:val="22"/>
          <w:szCs w:val="22"/>
        </w:rPr>
        <w:t xml:space="preserve">Фаза 2 (2028–2035): Перші демонстрації квантової факторизації на реальних криптографічних цілях (ймовірно засекречені, потім розкриті); міграція NIST PQC починається в масштабі; перші демонстрації фотонних обчислень; системи класу jneopallium досягають заміщення когнітивних ролей у конкретних доменах; стиснення споживання починається в секторах економіки знань</w:t>
      </w:r>
    </w:p>
    <w:p>
      <w:pPr>
        <w:pStyle w:val="ListParagraph"/>
        <w:numPr>
          <w:ilvl w:val="0"/>
          <w:numId w:val="2"/>
        </w:numPr>
        <w:spacing w:before="60" w:after="60"/>
      </w:pPr>
      <w:r>
        <w:rPr>
          <w:rFonts w:ascii="Arial" w:cs="Arial" w:eastAsia="Arial" w:hAnsi="Arial"/>
          <w:sz w:val="22"/>
          <w:szCs w:val="22"/>
        </w:rPr>
        <w:t xml:space="preserve">Фаза 3 (2033–2042): Повна вразливість RSA; криза криптографічної інфраструктури якщо міграція незавершена; системи класу jneopallium досягають загального заміщення когнітивних ролей; попит на когерентні обчислення різко зростає; енергетичний сектор починає надпровідний перехід якщо прогнози матеріалів CCDR підтверджені; воєнні економіки прискорюють впровадження</w:t>
      </w:r>
    </w:p>
    <w:p>
      <w:pPr>
        <w:pStyle w:val="ListParagraph"/>
        <w:numPr>
          <w:ilvl w:val="0"/>
          <w:numId w:val="2"/>
        </w:numPr>
        <w:spacing w:before="60" w:after="60"/>
      </w:pPr>
      <w:r>
        <w:rPr>
          <w:rFonts w:ascii="Arial" w:cs="Arial" w:eastAsia="Arial" w:hAnsi="Arial"/>
          <w:sz w:val="22"/>
          <w:szCs w:val="22"/>
        </w:rPr>
        <w:t xml:space="preserve">Фаза 4 (2040–2060): Встановлення когерентної економіки; функціонуюча криптографічна інфраструктура темного сектора; перші демонстрації інженерії вакуумної енергії; нейроморфний ШІ керує глобальною логістикою, науковими дослідженнями та функціями консультативного управління; питання вже не в тому, чи відбувається перехід, а хто володіє виробничими потужностями когерентності та в рамках якого управління</w:t>
      </w:r>
    </w:p>
    <w:p>
      <w:pPr>
        <w:spacing w:before="100" w:after="100"/>
        <w:jc w:val="both"/>
      </w:pPr>
      <w:r>
        <w:rPr>
          <w:rFonts w:ascii="Arial" w:cs="Arial" w:eastAsia="Arial" w:hAnsi="Arial"/>
          <w:sz w:val="22"/>
          <w:szCs w:val="22"/>
        </w:rPr>
        <w:t xml:space="preserve">Вікно для втручання в політику — Фази 1 та 2. До Фази 3 економічна логіка стає самопідкріплюючою в напрямках, які важко переспрямувати без інституційного колапсу. Аналіз у цій статті свідчить, що основним пріоритетом політики на наступне десятиліття є не безпека ШІ у вузькому розумінні (запобігання конкретним шкідливим результатам), а архітектура економіки ШІ: забезпечення того, щоб перехід до когерентної економіки не спричинив колапс споживання, що знищить інституційні потужності, необхідні для управління Фазами 3 та 4.</w:t>
      </w:r>
    </w:p>
    <w:p>
      <w:pPr>
        <w:spacing w:before="100" w:after="100"/>
        <w:jc w:val="both"/>
      </w:pPr>
      <w:r>
        <w:rPr>
          <w:rFonts w:ascii="Arial" w:cs="Arial" w:eastAsia="Arial" w:hAnsi="Arial"/>
          <w:sz w:val="22"/>
          <w:szCs w:val="22"/>
        </w:rPr>
        <w:t xml:space="preserve">Технології, описані тут — нейроморфна архітектура jneopallium, інженерні результати CCDR, криптографія темного сектора — не є певними. Вони є правдоподібними на основі поточних теоретичних рамок та ранніх емпіричних свідчень. Що є певним, так це те, що економічна логіка переходу, який вони представляють, якщо вони стануть реальністю, слідує структурі, проаналізованій вище. Директивним органам не потрібно вірити в CCDR, щоб готуватися до криптографічного переходу RSA. Їм не потрібно розуміти фізику темного сектора, щоб розробити механізми перерозподілу для надлишку когнітивної автоматизації. Підготовка до переходу відокремлена від впевненості у його конкретному фізичному субстраті.</w:t>
      </w:r>
    </w:p>
    <w:p>
      <w:pPr>
        <w:spacing w:before="100" w:after="100"/>
        <w:jc w:val="both"/>
      </w:pPr>
      <w:r>
        <w:rPr>
          <w:rFonts w:ascii="Arial" w:cs="Arial" w:eastAsia="Arial" w:hAnsi="Arial"/>
          <w:sz w:val="22"/>
          <w:szCs w:val="22"/>
        </w:rPr>
        <w:t xml:space="preserve">Мабуть, це найважливіший економічний факт з усіх.</w:t>
      </w:r>
    </w:p>
    <w:p>
      <w:pPr>
        <w:pBdr>
          <w:bottom w:val="single" w:color="2E4057" w:sz="4" w:space="1"/>
        </w:pBdr>
        <w:spacing w:before="200" w:after="200"/>
      </w:pPr>
    </w:p>
    <w:p>
      <w:pPr>
        <w:spacing w:before="360" w:after="120"/>
        <w:jc w:val="center"/>
      </w:pPr>
      <w:r>
        <w:rPr>
          <w:rFonts w:ascii="Arial" w:cs="Arial" w:eastAsia="Arial" w:hAnsi="Arial"/>
          <w:i/>
          <w:iCs/>
          <w:color w:val="888888"/>
          <w:sz w:val="20"/>
          <w:szCs w:val="20"/>
        </w:rPr>
        <w:t xml:space="preserve">— Кінець звіту —</w:t>
      </w:r>
    </w:p>
    <w:p>
      <w:pPr>
        <w:spacing w:before="0" w:after="120"/>
        <w:jc w:val="center"/>
      </w:pPr>
      <w:r>
        <w:rPr>
          <w:rFonts w:ascii="Arial" w:cs="Arial" w:eastAsia="Arial" w:hAnsi="Arial"/>
          <w:color w:val="888888"/>
          <w:sz w:val="18"/>
          <w:szCs w:val="18"/>
        </w:rPr>
        <w:t xml:space="preserve">Фреймворк jneopallium | CCDR v5 | Березень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2026-03-12T22:32:22.466Z</dcterms:created>
  <dcterms:modified xsi:type="dcterms:W3CDTF">2026-03-12T22:32:22.468Z</dcterms:modified>
</cp:coreProperties>
</file>

<file path=docProps/custom.xml><?xml version="1.0" encoding="utf-8"?>
<Properties xmlns="http://schemas.openxmlformats.org/officeDocument/2006/custom-properties" xmlns:vt="http://schemas.openxmlformats.org/officeDocument/2006/docPropsVTypes"/>
</file>