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Georgia" w:cs="Georgia" w:eastAsia="Georgia" w:hAnsi="Georgia"/>
          <w:b/>
          <w:bCs/>
          <w:color w:val="1A3A2A"/>
          <w:sz w:val="42"/>
          <w:szCs w:val="42"/>
        </w:rPr>
        <w:t xml:space="preserve">North Magnetic Pole Migration</w:t>
      </w:r>
    </w:p>
    <w:p>
      <w:pPr>
        <w:spacing w:before="0" w:after="60"/>
        <w:jc w:val="center"/>
      </w:pPr>
      <w:r>
        <w:rPr>
          <w:rFonts w:ascii="Georgia" w:cs="Georgia" w:eastAsia="Georgia" w:hAnsi="Georgia"/>
          <w:b/>
          <w:bCs/>
          <w:color w:val="2A5C3A"/>
          <w:sz w:val="24"/>
          <w:szCs w:val="24"/>
        </w:rPr>
        <w:t xml:space="preserve">A CCDR Analysis of Topological Charge Drift in Earth's Outer Core Condensate</w:t>
      </w:r>
    </w:p>
    <w:p>
      <w:pPr>
        <w:spacing w:before="0" w:after="60"/>
        <w:jc w:val="center"/>
      </w:pPr>
      <w:r>
        <w:rPr>
          <w:rFonts w:ascii="Palatino Linotype" w:cs="Palatino Linotype" w:eastAsia="Palatino Linotype" w:hAnsi="Palatino Linotype"/>
          <w:color w:val="555555"/>
          <w:sz w:val="20"/>
          <w:szCs w:val="20"/>
        </w:rPr>
        <w:t xml:space="preserve">Author: Dmytro Rakovskyi · March 2026 · CCDR Version 6 · github.com/rakovpublic/jneopallium</w:t>
      </w:r>
    </w:p>
    <w:p>
      <w:pPr>
        <w:spacing w:before="0" w:after="80"/>
        <w:jc w:val="center"/>
      </w:pPr>
      <w:r>
        <w:rPr>
          <w:rFonts w:ascii="Palatino Linotype" w:cs="Palatino Linotype" w:eastAsia="Palatino Linotype" w:hAnsi="Palatino Linotype"/>
          <w:i/>
          <w:iCs/>
          <w:color w:val="666666"/>
          <w:sz w:val="18"/>
          <w:szCs w:val="18"/>
        </w:rPr>
        <w:t xml:space="preserve">Keywords: north magnetic pole · geomagnetic field · CCDR · acoustic phonon condensate · topological defect · magnetic helicity · outer core · geodynamo · South Atlantic Anomaly · geomagnetic reversal · secular variation · grain boundary · Swarm satellite · phonon current</w:t>
      </w: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Abstract</w:t>
      </w:r>
    </w:p>
    <w:p>
      <w:pPr>
        <w:spacing w:before="80" w:after="80"/>
      </w:pPr>
      <w:r>
        <w:rPr>
          <w:rFonts w:ascii="Palatino Linotype" w:cs="Palatino Linotype" w:eastAsia="Palatino Linotype" w:hAnsi="Palatino Linotype"/>
          <w:sz w:val="22"/>
          <w:szCs w:val="22"/>
        </w:rPr>
        <w:t xml:space="preserve">The north magnetic pole has migrated from northern Canada toward Siberia at an accelerating rate since the 1990s, covering roughly 2500 km in three decades and currently moving at ~55 km/year. Standard geodynamo models attribute this to changes in fluid flow in the outer core beneath the Arctic. CCDR offers a structurally different explanation at every level: the pole is not a geometric property of a fluid-advected dipole but the surface projection of a topological defect center of Earth's outer core acoustic phonon condensate. Its migration is not driven by fluid flow but by redistribution of topological charge between two competing condensate grains.</w:t>
      </w:r>
    </w:p>
    <w:p>
      <w:pPr>
        <w:spacing w:before="60" w:after="60"/>
      </w:pPr>
    </w:p>
    <w:p>
      <w:pPr>
        <w:spacing w:before="80" w:after="80"/>
      </w:pPr>
      <w:r>
        <w:rPr>
          <w:rFonts w:ascii="Palatino Linotype" w:cs="Palatino Linotype" w:eastAsia="Palatino Linotype" w:hAnsi="Palatino Linotype"/>
          <w:sz w:val="22"/>
          <w:szCs w:val="22"/>
        </w:rPr>
        <w:t xml:space="preserve">We derive: (1) the two-lobe structure as competing condensate grains; (2) the 1990s acceleration as threshold onset of a phonon helicity current; (3) the South Atlantic Anomaly as the disordered void grain antipodal to the migrating pole; (4) excursions vs. reversals as local vs. global condensate disorder; (5) discrete jump predictions correlated with mantle heterogeneity; (6) secular variation as outer core phonon modes with a calculable ~60-year period. Seven testable predictions are tabulated.</w:t>
      </w: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1. What the Magnetic Pole Position Is in CCDR</w:t>
      </w:r>
    </w:p>
    <w:p>
      <w:pPr>
        <w:spacing w:before="80" w:after="80"/>
      </w:pPr>
      <w:r>
        <w:rPr>
          <w:rFonts w:ascii="Palatino Linotype" w:cs="Palatino Linotype" w:eastAsia="Palatino Linotype" w:hAnsi="Palatino Linotype"/>
          <w:sz w:val="22"/>
          <w:szCs w:val="22"/>
        </w:rPr>
        <w:t xml:space="preserve">In standard geophysics, the north magnetic pole is the surface point where the geomagnetic field vector points vertically downward — a geometric property of the dipole. Its position changes because the dipole axis wobbles as fluid motions in the outer core rearrange the field.</w:t>
      </w:r>
    </w:p>
    <w:p>
      <w:pPr>
        <w:spacing w:before="60" w:after="60"/>
      </w:pPr>
    </w:p>
    <w:p>
      <w:pPr>
        <w:spacing w:before="80" w:after="80"/>
      </w:pPr>
      <w:r>
        <w:rPr>
          <w:rFonts w:ascii="Palatino Linotype" w:cs="Palatino Linotype" w:eastAsia="Palatino Linotype" w:hAnsi="Palatino Linotype"/>
          <w:sz w:val="22"/>
          <w:szCs w:val="22"/>
        </w:rPr>
        <w:t xml:space="preserve">In CCDR, the magnetic pole is the surface projection of the topological defect center of the acoustic phonon condensate. The geomagnetic field is not a bar magnet with a physical axis — it is a coherent phonon condensate with a topological charge structure. The north pole is where the magnetic helicity H_mag = ∫A·B d³x is maximally concentrated per unit area at the surface. It migrates not because a fluid current moved, but because the center of topological charge in the outer core condensate shifted.</w:t>
      </w:r>
    </w:p>
    <w:p>
      <w:pPr>
        <w:spacing w:before="60" w:after="60"/>
      </w:pPr>
    </w:p>
    <w:p>
      <w:pPr>
        <w:spacing w:before="80" w:after="80"/>
      </w:pPr>
      <w:r>
        <w:rPr>
          <w:rFonts w:ascii="Palatino Linotype" w:cs="Palatino Linotype" w:eastAsia="Palatino Linotype" w:hAnsi="Palatino Linotype"/>
          <w:sz w:val="22"/>
          <w:szCs w:val="22"/>
        </w:rPr>
        <w:t xml:space="preserve">This distinction changes what counts as the cause of migration. In standard physics: where did the fluid go? In CCDR: how did the topology of the condensate reconfigure?</w:t>
      </w: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2. The Two-Lobe Structure: Two Competing Condensate Grains</w:t>
      </w:r>
    </w:p>
    <w:p>
      <w:pPr>
        <w:spacing w:before="80" w:after="80"/>
      </w:pPr>
      <w:r>
        <w:rPr>
          <w:rFonts w:ascii="Palatino Linotype" w:cs="Palatino Linotype" w:eastAsia="Palatino Linotype" w:hAnsi="Palatino Linotype"/>
          <w:sz w:val="22"/>
          <w:szCs w:val="22"/>
        </w:rPr>
        <w:t xml:space="preserve">Satellite observations (CHAMP, Swarm) have mapped the magnetic field at the core-mantle boundary (CMB). What they reveal is not a smooth dipole but a field dominated by two concentrated flux lobes: one beneath northern Canada, one beneath Siberia. The north magnetic pole’s surface position reflects which lobe carries more topological charge.</w:t>
      </w:r>
    </w:p>
    <w:p>
      <w:pPr>
        <w:spacing w:before="60" w:after="60"/>
      </w:pPr>
    </w:p>
    <w:p>
      <w:pPr>
        <w:spacing w:before="80" w:after="80"/>
      </w:pPr>
      <w:r>
        <w:rPr>
          <w:rFonts w:ascii="Palatino Linotype" w:cs="Palatino Linotype" w:eastAsia="Palatino Linotype" w:hAnsi="Palatino Linotype"/>
          <w:sz w:val="22"/>
          <w:szCs w:val="22"/>
        </w:rPr>
        <w:t xml:space="preserve">In CCDR, these two lobes are two competing condensate grains of the outer core acoustic phonon condensate — two regions that have undergone helical ordering (the condensation event generating the geomagnetic field) with slightly different orientations and local condensate densities.</w:t>
      </w:r>
    </w:p>
    <w:p>
      <w:pPr>
        <w:spacing w:before="60" w:after="60"/>
      </w:pPr>
    </w:p>
    <w:p>
      <w:pPr>
        <w:spacing w:before="100" w:after="100"/>
      </w:pPr>
      <w:r>
        <w:rPr>
          <w:rFonts w:ascii="Courier New" w:cs="Courier New" w:eastAsia="Courier New" w:hAnsi="Courier New"/>
          <w:color w:val="1A4A2A"/>
          <w:sz w:val="20"/>
          <w:szCs w:val="20"/>
        </w:rPr>
        <w:t xml:space="preserve">Canadian lobe:   high helicity density, deep near inner core boundary</w:t>
      </w:r>
    </w:p>
    <w:p>
      <w:pPr>
        <w:spacing w:before="100" w:after="100"/>
      </w:pPr>
      <w:r>
        <w:rPr>
          <w:rFonts w:ascii="Courier New" w:cs="Courier New" w:eastAsia="Courier New" w:hAnsi="Courier New"/>
          <w:color w:val="1A4A2A"/>
          <w:sz w:val="20"/>
          <w:szCs w:val="20"/>
        </w:rPr>
        <w:t xml:space="preserve">                 historically dominant → pole anchored over Canada</w:t>
      </w:r>
    </w:p>
    <w:p>
      <w:pPr>
        <w:spacing w:before="100" w:after="100"/>
      </w:pPr>
      <w:r>
        <w:rPr>
          <w:rFonts w:ascii="Courier New" w:cs="Courier New" w:eastAsia="Courier New" w:hAnsi="Courier New"/>
          <w:color w:val="1A4A2A"/>
          <w:sz w:val="20"/>
          <w:szCs w:val="20"/>
        </w:rPr>
        <w:t xml:space="preserve">Siberian lobe:   lower helicity density, shallower in outer core</w:t>
      </w:r>
    </w:p>
    <w:p>
      <w:pPr>
        <w:spacing w:before="100" w:after="100"/>
      </w:pPr>
      <w:r>
        <w:rPr>
          <w:rFonts w:ascii="Courier New" w:cs="Courier New" w:eastAsia="Courier New" w:hAnsi="Courier New"/>
          <w:color w:val="1A4A2A"/>
          <w:sz w:val="20"/>
          <w:szCs w:val="20"/>
        </w:rPr>
        <w:t xml:space="preserve">                 historically secondary</w:t>
      </w:r>
    </w:p>
    <w:p>
      <w:pPr>
        <w:spacing w:before="60" w:after="60"/>
      </w:pPr>
    </w:p>
    <w:p>
      <w:pPr>
        <w:spacing w:before="100" w:after="100"/>
      </w:pPr>
      <w:r>
        <w:rPr>
          <w:rFonts w:ascii="Courier New" w:cs="Courier New" w:eastAsia="Courier New" w:hAnsi="Courier New"/>
          <w:color w:val="1A4A2A"/>
          <w:sz w:val="20"/>
          <w:szCs w:val="20"/>
        </w:rPr>
        <w:t xml:space="preserve">Pole position ≈ weighted centroid of the two lobe helicity centers</w:t>
      </w:r>
    </w:p>
    <w:p>
      <w:pPr>
        <w:spacing w:before="100" w:after="100"/>
      </w:pPr>
      <w:r>
        <w:rPr>
          <w:rFonts w:ascii="Courier New" w:cs="Courier New" w:eastAsia="Courier New" w:hAnsi="Courier New"/>
          <w:color w:val="1A4A2A"/>
          <w:sz w:val="20"/>
          <w:szCs w:val="20"/>
        </w:rPr>
        <w:t xml:space="preserve">              = where their topological charges balance</w:t>
      </w:r>
    </w:p>
    <w:p>
      <w:pPr>
        <w:spacing w:before="60" w:after="60"/>
      </w:pPr>
    </w:p>
    <w:p>
      <w:pPr>
        <w:spacing w:before="80" w:after="80"/>
      </w:pPr>
      <w:r>
        <w:rPr>
          <w:rFonts w:ascii="Palatino Linotype" w:cs="Palatino Linotype" w:eastAsia="Palatino Linotype" w:hAnsi="Palatino Linotype"/>
          <w:sz w:val="22"/>
          <w:szCs w:val="22"/>
        </w:rPr>
        <w:t xml:space="preserve">The pole’s migration from Canada toward Siberia is a rebalancing of topological charge between two condensate grains. The Canadian lobe is losing helicity density; the Siberian lobe is gaining it. The fluid flow is a consequence of the condensate restructuring, not the cause.</w:t>
      </w:r>
    </w:p>
    <w:p>
      <w:pPr>
        <w:spacing w:before="60" w:after="60"/>
      </w:pPr>
    </w:p>
    <w:p>
      <w:pPr>
        <w:spacing w:before="80" w:after="80"/>
      </w:pPr>
      <w:r>
        <w:rPr>
          <w:rFonts w:ascii="Palatino Linotype" w:cs="Palatino Linotype" w:eastAsia="Palatino Linotype" w:hAnsi="Palatino Linotype"/>
          <w:sz w:val="22"/>
          <w:szCs w:val="22"/>
        </w:rPr>
        <w:t xml:space="preserve">This makes a specific prediction: migration should be non-uniform. The pole should accelerate when moving down the gradient of topological charge between grains, decelerate near a grain boundary, and potentially jump when crossing a grain boundary node. The historical record shows exactly this: decades of slow drift, then sharp acceleration in the 1990s–2000s. CCDR identifies this as the pole crossing a grain boundary and entering the gravitational basin of the Siberian lobe’s topological charge.</w:t>
      </w: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3. The Jet: A Phonon Helicity Current</w:t>
      </w:r>
    </w:p>
    <w:p>
      <w:pPr>
        <w:spacing w:before="80" w:after="80"/>
      </w:pPr>
      <w:r>
        <w:rPr>
          <w:rFonts w:ascii="Palatino Linotype" w:cs="Palatino Linotype" w:eastAsia="Palatino Linotype" w:hAnsi="Palatino Linotype"/>
          <w:sz w:val="22"/>
          <w:szCs w:val="22"/>
        </w:rPr>
        <w:t xml:space="preserve">Satellite data has revealed a concentrated westward flow in the outer core near the CMB beneath the Arctic — the ‘polar jet’. In standard MHD this is a Taylor column or magnetostrophic jet: a columnar fluid flow driven by buoyancy and Coriolis forces.</w:t>
      </w:r>
    </w:p>
    <w:p>
      <w:pPr>
        <w:spacing w:before="60" w:after="60"/>
      </w:pPr>
    </w:p>
    <w:p>
      <w:pPr>
        <w:spacing w:before="80" w:after="80"/>
      </w:pPr>
      <w:r>
        <w:rPr>
          <w:rFonts w:ascii="Palatino Linotype" w:cs="Palatino Linotype" w:eastAsia="Palatino Linotype" w:hAnsi="Palatino Linotype"/>
          <w:sz w:val="22"/>
          <w:szCs w:val="22"/>
        </w:rPr>
        <w:t xml:space="preserve">CCDR identifies this jet as a phonon helicity current — a concentrated flow of topological charge within the outer core condensate. A phonon helicity current flows with minimal dissipation along the lowest-energy path through the condensate, driven by the global topology, not a local pressure gradient.</w:t>
      </w:r>
    </w:p>
    <w:p>
      <w:pPr>
        <w:spacing w:before="60" w:after="60"/>
      </w:pPr>
    </w:p>
    <w:p>
      <w:pPr>
        <w:spacing w:before="100" w:after="100"/>
      </w:pPr>
      <w:r>
        <w:rPr>
          <w:rFonts w:ascii="Courier New" w:cs="Courier New" w:eastAsia="Courier New" w:hAnsi="Courier New"/>
          <w:color w:val="1A4A2A"/>
          <w:sz w:val="20"/>
          <w:szCs w:val="20"/>
        </w:rPr>
        <w:t xml:space="preserve">Standard MHD:   jet = fluid flow column</w:t>
      </w:r>
    </w:p>
    <w:p>
      <w:pPr>
        <w:spacing w:before="100" w:after="100"/>
      </w:pPr>
      <w:r>
        <w:rPr>
          <w:rFonts w:ascii="Courier New" w:cs="Courier New" w:eastAsia="Courier New" w:hAnsi="Courier New"/>
          <w:color w:val="1A4A2A"/>
          <w:sz w:val="20"/>
          <w:szCs w:val="20"/>
        </w:rPr>
        <w:t xml:space="preserve">                pole moves because field lines are advected</w:t>
      </w:r>
    </w:p>
    <w:p>
      <w:pPr>
        <w:spacing w:before="100" w:after="100"/>
      </w:pPr>
      <w:r>
        <w:rPr>
          <w:rFonts w:ascii="Courier New" w:cs="Courier New" w:eastAsia="Courier New" w:hAnsi="Courier New"/>
          <w:color w:val="1A4A2A"/>
          <w:sz w:val="20"/>
          <w:szCs w:val="20"/>
        </w:rPr>
        <w:t xml:space="preserve"/>
      </w:r>
    </w:p>
    <w:p>
      <w:pPr>
        <w:spacing w:before="100" w:after="100"/>
      </w:pPr>
      <w:r>
        <w:rPr>
          <w:rFonts w:ascii="Courier New" w:cs="Courier New" w:eastAsia="Courier New" w:hAnsi="Courier New"/>
          <w:color w:val="1A4A2A"/>
          <w:sz w:val="20"/>
          <w:szCs w:val="20"/>
        </w:rPr>
        <w:t xml:space="preserve">CCDR:           jet = phonon helicity current</w:t>
      </w:r>
    </w:p>
    <w:p>
      <w:pPr>
        <w:spacing w:before="100" w:after="100"/>
      </w:pPr>
      <w:r>
        <w:rPr>
          <w:rFonts w:ascii="Courier New" w:cs="Courier New" w:eastAsia="Courier New" w:hAnsi="Courier New"/>
          <w:color w:val="1A4A2A"/>
          <w:sz w:val="20"/>
          <w:szCs w:val="20"/>
        </w:rPr>
        <w:t xml:space="preserve">                pole moves because topological charge is transported</w:t>
      </w:r>
    </w:p>
    <w:p>
      <w:pPr>
        <w:spacing w:before="60" w:after="60"/>
      </w:pPr>
    </w:p>
    <w:p>
      <w:pPr>
        <w:spacing w:before="80" w:after="80"/>
      </w:pPr>
      <w:r>
        <w:rPr>
          <w:rFonts w:ascii="Palatino Linotype" w:cs="Palatino Linotype" w:eastAsia="Palatino Linotype" w:hAnsi="Palatino Linotype"/>
          <w:sz w:val="22"/>
          <w:szCs w:val="22"/>
        </w:rPr>
        <w:t xml:space="preserve">The acceleration of the north pole migration in the 1990s corresponds in CCDR to the nucleation of this helicity current — a sudden onset of concentrated topological charge transport from the Canadian lobe to the Siberian lobe. This is not a gradual process; it has a threshold character, like a supercurrent switching on when the condensate reaches a critical configuration.</w:t>
      </w:r>
    </w:p>
    <w:p>
      <w:pPr>
        <w:spacing w:before="60" w:after="60"/>
      </w:pPr>
    </w:p>
    <w:p>
      <w:pPr>
        <w:spacing w:before="100" w:after="100"/>
      </w:pPr>
      <w:r>
        <w:rPr>
          <w:rFonts w:ascii="Courier New" w:cs="Courier New" w:eastAsia="Courier New" w:hAnsi="Courier New"/>
          <w:color w:val="1A4A2A"/>
          <w:sz w:val="20"/>
          <w:szCs w:val="20"/>
        </w:rPr>
        <w:t xml:space="preserve">Helicity current onset condition:</w:t>
      </w:r>
    </w:p>
    <w:p>
      <w:pPr>
        <w:spacing w:before="100" w:after="100"/>
      </w:pPr>
      <w:r>
        <w:rPr>
          <w:rFonts w:ascii="Courier New" w:cs="Courier New" w:eastAsia="Courier New" w:hAnsi="Courier New"/>
          <w:color w:val="1A4A2A"/>
          <w:sz w:val="20"/>
          <w:szCs w:val="20"/>
        </w:rPr>
        <w:t xml:space="preserve">ΔH_lobe / ξ² ≥ J_c</w:t>
      </w:r>
    </w:p>
    <w:p>
      <w:pPr>
        <w:spacing w:before="100" w:after="100"/>
      </w:pPr>
      <w:r>
        <w:rPr>
          <w:rFonts w:ascii="Courier New" w:cs="Courier New" w:eastAsia="Courier New" w:hAnsi="Courier New"/>
          <w:color w:val="1A4A2A"/>
          <w:sz w:val="20"/>
          <w:szCs w:val="20"/>
        </w:rPr>
        <w:t xml:space="preserve">where ΔH_lobe = helicity density difference between Canadian and Siberian lobes</w:t>
      </w:r>
    </w:p>
    <w:p>
      <w:pPr>
        <w:spacing w:before="100" w:after="100"/>
      </w:pPr>
      <w:r>
        <w:rPr>
          <w:rFonts w:ascii="Courier New" w:cs="Courier New" w:eastAsia="Courier New" w:hAnsi="Courier New"/>
          <w:color w:val="1A4A2A"/>
          <w:sz w:val="20"/>
          <w:szCs w:val="20"/>
        </w:rPr>
        <w:t xml:space="preserve">      ξ        = phonon correlation length in outer core condensate</w:t>
      </w:r>
    </w:p>
    <w:p>
      <w:pPr>
        <w:spacing w:before="100" w:after="100"/>
      </w:pPr>
      <w:r>
        <w:rPr>
          <w:rFonts w:ascii="Courier New" w:cs="Courier New" w:eastAsia="Courier New" w:hAnsi="Courier New"/>
          <w:color w:val="1A4A2A"/>
          <w:sz w:val="20"/>
          <w:szCs w:val="20"/>
        </w:rPr>
        <w:t xml:space="preserve">      J_c       = critical helicity current density</w:t>
      </w:r>
    </w:p>
    <w:p>
      <w:pPr>
        <w:spacing w:before="60" w:after="60"/>
      </w:pPr>
    </w:p>
    <w:p>
      <w:pPr>
        <w:spacing w:before="100" w:after="100"/>
      </w:pPr>
      <w:r>
        <w:rPr>
          <w:rFonts w:ascii="Courier New" w:cs="Courier New" w:eastAsia="Courier New" w:hAnsi="Courier New"/>
          <w:color w:val="1A4A2A"/>
          <w:sz w:val="20"/>
          <w:szCs w:val="20"/>
        </w:rPr>
        <w:t xml:space="preserve">Below J_c:   pole drifts slowly  (~10–15 km/yr, diffusive transport)</w:t>
      </w:r>
    </w:p>
    <w:p>
      <w:pPr>
        <w:spacing w:before="100" w:after="100"/>
      </w:pPr>
      <w:r>
        <w:rPr>
          <w:rFonts w:ascii="Courier New" w:cs="Courier New" w:eastAsia="Courier New" w:hAnsi="Courier New"/>
          <w:color w:val="1A4A2A"/>
          <w:sz w:val="20"/>
          <w:szCs w:val="20"/>
        </w:rPr>
        <w:t xml:space="preserve">Above J_c:   pole accelerates    (~55–60 km/yr, coherent phonon current)</w:t>
      </w:r>
    </w:p>
    <w:p>
      <w:pPr>
        <w:spacing w:before="100" w:after="100"/>
      </w:pPr>
      <w:r>
        <w:rPr>
          <w:rFonts w:ascii="Courier New" w:cs="Courier New" w:eastAsia="Courier New" w:hAnsi="Courier New"/>
          <w:color w:val="1A4A2A"/>
          <w:sz w:val="20"/>
          <w:szCs w:val="20"/>
        </w:rPr>
        <w:t xml:space="preserve">1990s event: transition from diffusive to coherent transport</w:t>
      </w:r>
    </w:p>
    <w:p>
      <w:pPr>
        <w:spacing w:before="60" w:after="60"/>
      </w:pPr>
    </w:p>
    <w:p>
      <w:pPr>
        <w:spacing w:before="80" w:after="80"/>
      </w:pPr>
      <w:r>
        <w:rPr>
          <w:rFonts w:ascii="Palatino Linotype" w:cs="Palatino Linotype" w:eastAsia="Palatino Linotype" w:hAnsi="Palatino Linotype"/>
          <w:sz w:val="22"/>
          <w:szCs w:val="22"/>
        </w:rPr>
        <w:t xml:space="preserve">Prediction M1: The acceleration onset should be abrupt, not gradual. If the historical pole position record (from observatory and satellite data) is fitted, the speed increase should have a step-change character, not a smooth ramp. Standard fluid dynamics predicts a smooth ramp; CCDR predicts a threshold step.</w:t>
      </w: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4. The South Atlantic Anomaly: A Condensate Void Grain</w:t>
      </w:r>
    </w:p>
    <w:p>
      <w:pPr>
        <w:spacing w:before="80" w:after="80"/>
      </w:pPr>
      <w:r>
        <w:rPr>
          <w:rFonts w:ascii="Palatino Linotype" w:cs="Palatino Linotype" w:eastAsia="Palatino Linotype" w:hAnsi="Palatino Linotype"/>
          <w:sz w:val="22"/>
          <w:szCs w:val="22"/>
        </w:rPr>
        <w:t xml:space="preserve">Simultaneously with the north pole acceleration, the South Atlantic Anomaly (SAA) — a region of anomalously weak geomagnetic field over Brazil and the South Atlantic — has been expanding and deepening. Standard geophysics treats this as an independent phenomenon caused by growing reversed-flux patches at the CMB beneath the South Atlantic.</w:t>
      </w:r>
    </w:p>
    <w:p>
      <w:pPr>
        <w:spacing w:before="60" w:after="60"/>
      </w:pPr>
    </w:p>
    <w:p>
      <w:pPr>
        <w:spacing w:before="80" w:after="80"/>
      </w:pPr>
      <w:r>
        <w:rPr>
          <w:rFonts w:ascii="Palatino Linotype" w:cs="Palatino Linotype" w:eastAsia="Palatino Linotype" w:hAnsi="Palatino Linotype"/>
          <w:sz w:val="22"/>
          <w:szCs w:val="22"/>
        </w:rPr>
        <w:t xml:space="preserve">In CCDR, the SAA and the north pole migration are the same phenomenon viewed from two ends of the dipole. The SAA is a void grain in the outer core acoustic phonon condensate — a region where helicity density has fallen below the condensation threshold and the condensate has locally returned to its disordered phase.</w:t>
      </w:r>
    </w:p>
    <w:p>
      <w:pPr>
        <w:spacing w:before="60" w:after="60"/>
      </w:pPr>
    </w:p>
    <w:p>
      <w:pPr>
        <w:spacing w:before="100" w:after="100"/>
      </w:pPr>
      <w:r>
        <w:rPr>
          <w:rFonts w:ascii="Courier New" w:cs="Courier New" w:eastAsia="Courier New" w:hAnsi="Courier New"/>
          <w:color w:val="1A4A2A"/>
          <w:sz w:val="20"/>
          <w:szCs w:val="20"/>
        </w:rPr>
        <w:t xml:space="preserve">CCDR topology of the current geomagnetic state:</w:t>
      </w:r>
    </w:p>
    <w:p>
      <w:pPr>
        <w:spacing w:before="100" w:after="100"/>
      </w:pPr>
      <w:r>
        <w:rPr>
          <w:rFonts w:ascii="Courier New" w:cs="Courier New" w:eastAsia="Courier New" w:hAnsi="Courier New"/>
          <w:color w:val="1A4A2A"/>
          <w:sz w:val="20"/>
          <w:szCs w:val="20"/>
        </w:rPr>
        <w:t xml:space="preserve"/>
      </w:r>
    </w:p>
    <w:p>
      <w:pPr>
        <w:spacing w:before="100" w:after="100"/>
      </w:pPr>
      <w:r>
        <w:rPr>
          <w:rFonts w:ascii="Courier New" w:cs="Courier New" w:eastAsia="Courier New" w:hAnsi="Courier New"/>
          <w:color w:val="1A4A2A"/>
          <w:sz w:val="20"/>
          <w:szCs w:val="20"/>
        </w:rPr>
        <w:t xml:space="preserve">Northern hemisphere condensate:</w:t>
      </w:r>
    </w:p>
    <w:p>
      <w:pPr>
        <w:spacing w:before="100" w:after="100"/>
      </w:pPr>
      <w:r>
        <w:rPr>
          <w:rFonts w:ascii="Courier New" w:cs="Courier New" w:eastAsia="Courier New" w:hAnsi="Courier New"/>
          <w:color w:val="1A4A2A"/>
          <w:sz w:val="20"/>
          <w:szCs w:val="20"/>
        </w:rPr>
        <w:t xml:space="preserve">  Canadian lobe (weakening) ← helicity current → Siberian lobe (strengthening)</w:t>
      </w:r>
    </w:p>
    <w:p>
      <w:pPr>
        <w:spacing w:before="100" w:after="100"/>
      </w:pPr>
      <w:r>
        <w:rPr>
          <w:rFonts w:ascii="Courier New" w:cs="Courier New" w:eastAsia="Courier New" w:hAnsi="Courier New"/>
          <w:color w:val="1A4A2A"/>
          <w:sz w:val="20"/>
          <w:szCs w:val="20"/>
        </w:rPr>
        <w:t xml:space="preserve">  Pole migrating along this current</w:t>
      </w:r>
    </w:p>
    <w:p>
      <w:pPr>
        <w:spacing w:before="100" w:after="100"/>
      </w:pPr>
      <w:r>
        <w:rPr>
          <w:rFonts w:ascii="Courier New" w:cs="Courier New" w:eastAsia="Courier New" w:hAnsi="Courier New"/>
          <w:color w:val="1A4A2A"/>
          <w:sz w:val="20"/>
          <w:szCs w:val="20"/>
        </w:rPr>
        <w:t xml:space="preserve"/>
      </w:r>
    </w:p>
    <w:p>
      <w:pPr>
        <w:spacing w:before="100" w:after="100"/>
      </w:pPr>
      <w:r>
        <w:rPr>
          <w:rFonts w:ascii="Courier New" w:cs="Courier New" w:eastAsia="Courier New" w:hAnsi="Courier New"/>
          <w:color w:val="1A4A2A"/>
          <w:sz w:val="20"/>
          <w:szCs w:val="20"/>
        </w:rPr>
        <w:t xml:space="preserve">Southern hemisphere condensate:</w:t>
      </w:r>
    </w:p>
    <w:p>
      <w:pPr>
        <w:spacing w:before="100" w:after="100"/>
      </w:pPr>
      <w:r>
        <w:rPr>
          <w:rFonts w:ascii="Courier New" w:cs="Courier New" w:eastAsia="Courier New" w:hAnsi="Courier New"/>
          <w:color w:val="1A4A2A"/>
          <w:sz w:val="20"/>
          <w:szCs w:val="20"/>
        </w:rPr>
        <w:t xml:space="preserve">  SAA region: condensate disordered (void grain, helicity below threshold)</w:t>
      </w:r>
    </w:p>
    <w:p>
      <w:pPr>
        <w:spacing w:before="100" w:after="100"/>
      </w:pPr>
      <w:r>
        <w:rPr>
          <w:rFonts w:ascii="Courier New" w:cs="Courier New" w:eastAsia="Courier New" w:hAnsi="Courier New"/>
          <w:color w:val="1A4A2A"/>
          <w:sz w:val="20"/>
          <w:szCs w:val="20"/>
        </w:rPr>
        <w:t xml:space="preserve">  Growing void = condensate losing helicity density in this region</w:t>
      </w:r>
    </w:p>
    <w:p>
      <w:pPr>
        <w:spacing w:before="100" w:after="100"/>
      </w:pPr>
      <w:r>
        <w:rPr>
          <w:rFonts w:ascii="Courier New" w:cs="Courier New" w:eastAsia="Courier New" w:hAnsi="Courier New"/>
          <w:color w:val="1A4A2A"/>
          <w:sz w:val="20"/>
          <w:szCs w:val="20"/>
        </w:rPr>
        <w:t xml:space="preserve"/>
      </w:r>
    </w:p>
    <w:p>
      <w:pPr>
        <w:spacing w:before="100" w:after="100"/>
      </w:pPr>
      <w:r>
        <w:rPr>
          <w:rFonts w:ascii="Courier New" w:cs="Courier New" w:eastAsia="Courier New" w:hAnsi="Courier New"/>
          <w:color w:val="1A4A2A"/>
          <w:sz w:val="20"/>
          <w:szCs w:val="20"/>
        </w:rPr>
        <w:t xml:space="preserve">These are two aspects of a single process:</w:t>
      </w:r>
    </w:p>
    <w:p>
      <w:pPr>
        <w:spacing w:before="100" w:after="100"/>
      </w:pPr>
      <w:r>
        <w:rPr>
          <w:rFonts w:ascii="Courier New" w:cs="Courier New" w:eastAsia="Courier New" w:hAnsi="Courier New"/>
          <w:color w:val="1A4A2A"/>
          <w:sz w:val="20"/>
          <w:szCs w:val="20"/>
        </w:rPr>
        <w:t xml:space="preserve">  the outer core condensate is redistributing its topological charge</w:t>
      </w:r>
    </w:p>
    <w:p>
      <w:pPr>
        <w:spacing w:before="60" w:after="60"/>
      </w:pPr>
    </w:p>
    <w:p>
      <w:pPr>
        <w:spacing w:before="80" w:after="80"/>
      </w:pPr>
      <w:r>
        <w:rPr>
          <w:rFonts w:ascii="Palatino Linotype" w:cs="Palatino Linotype" w:eastAsia="Palatino Linotype" w:hAnsi="Palatino Linotype"/>
          <w:sz w:val="22"/>
          <w:szCs w:val="22"/>
        </w:rPr>
        <w:t xml:space="preserve">The SAA expanding while the north pole accelerates is a diagnostic signature of the outer core condensate approaching a topological phase transition. Whether it stabilizes in a new configuration or continues to disorder into a reversal depends on whether the helicity current dissipates after reaching a new lobe equilibrium (pole stabilizes in Siberia) or whether the disorder propagates globally (reversal).</w:t>
      </w:r>
    </w:p>
    <w:p>
      <w:pPr>
        <w:spacing w:before="60" w:after="60"/>
      </w:pPr>
    </w:p>
    <w:p>
      <w:pPr>
        <w:spacing w:before="80" w:after="80"/>
      </w:pPr>
      <w:r>
        <w:rPr>
          <w:rFonts w:ascii="Palatino Linotype" w:cs="Palatino Linotype" w:eastAsia="Palatino Linotype" w:hAnsi="Palatino Linotype"/>
          <w:sz w:val="22"/>
          <w:szCs w:val="22"/>
        </w:rPr>
        <w:t xml:space="preserve">Prediction M2: The SAA expansion rate and the north pole speed should be correlated on decadal timescales — both driven by the same underlying helicity redistribution. Standard models treat them as partially independent processes with only loose correlation. CCDR predicts tight coupling.</w:t>
      </w: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5. Predicting the Pole's Future Trajectory</w:t>
      </w:r>
    </w:p>
    <w:p>
      <w:pPr>
        <w:spacing w:before="80" w:after="80"/>
      </w:pPr>
      <w:r>
        <w:rPr>
          <w:rFonts w:ascii="Palatino Linotype" w:cs="Palatino Linotype" w:eastAsia="Palatino Linotype" w:hAnsi="Palatino Linotype"/>
          <w:sz w:val="22"/>
          <w:szCs w:val="22"/>
        </w:rPr>
        <w:t xml:space="preserve">Standard model prediction: the pole continues drifting toward Siberia, trajectory uncertain beyond a few decades.</w:t>
      </w:r>
    </w:p>
    <w:p>
      <w:pPr>
        <w:spacing w:before="60" w:after="60"/>
      </w:pPr>
    </w:p>
    <w:p>
      <w:pPr>
        <w:spacing w:before="80" w:after="80"/>
      </w:pPr>
      <w:r>
        <w:rPr>
          <w:rFonts w:ascii="Palatino Linotype" w:cs="Palatino Linotype" w:eastAsia="Palatino Linotype" w:hAnsi="Palatino Linotype"/>
          <w:sz w:val="22"/>
          <w:szCs w:val="22"/>
        </w:rPr>
        <w:t xml:space="preserve">CCDR prediction: the pole trajectory is constrained by the condensate grain structure — specifically by the topological charge lobe positions at the CMB and the phonon correlation length. Three phases:</w:t>
      </w:r>
    </w:p>
    <w:p>
      <w:pPr>
        <w:spacing w:before="60" w:after="60"/>
      </w:pPr>
    </w:p>
    <w:p>
      <w:pPr>
        <w:spacing w:before="100" w:after="100"/>
      </w:pPr>
      <w:r>
        <w:rPr>
          <w:rFonts w:ascii="Courier New" w:cs="Courier New" w:eastAsia="Courier New" w:hAnsi="Courier New"/>
          <w:color w:val="1A4A2A"/>
          <w:sz w:val="20"/>
          <w:szCs w:val="20"/>
        </w:rPr>
        <w:t xml:space="preserve">Phase 1 (current):   rapid migration</w:t>
      </w:r>
    </w:p>
    <w:p>
      <w:pPr>
        <w:spacing w:before="100" w:after="100"/>
      </w:pPr>
      <w:r>
        <w:rPr>
          <w:rFonts w:ascii="Courier New" w:cs="Courier New" w:eastAsia="Courier New" w:hAnsi="Courier New"/>
          <w:color w:val="1A4A2A"/>
          <w:sz w:val="20"/>
          <w:szCs w:val="20"/>
        </w:rPr>
        <w:t xml:space="preserve">                     pole in helicity current stream</w:t>
      </w:r>
    </w:p>
    <w:p>
      <w:pPr>
        <w:spacing w:before="100" w:after="100"/>
      </w:pPr>
      <w:r>
        <w:rPr>
          <w:rFonts w:ascii="Courier New" w:cs="Courier New" w:eastAsia="Courier New" w:hAnsi="Courier New"/>
          <w:color w:val="1A4A2A"/>
          <w:sz w:val="20"/>
          <w:szCs w:val="20"/>
        </w:rPr>
        <w:t xml:space="preserve">                     speed ~ 55–70 km/year</w:t>
      </w:r>
    </w:p>
    <w:p>
      <w:pPr>
        <w:spacing w:before="100" w:after="100"/>
      </w:pPr>
      <w:r>
        <w:rPr>
          <w:rFonts w:ascii="Courier New" w:cs="Courier New" w:eastAsia="Courier New" w:hAnsi="Courier New"/>
          <w:color w:val="1A4A2A"/>
          <w:sz w:val="20"/>
          <w:szCs w:val="20"/>
        </w:rPr>
        <w:t xml:space="preserve"/>
      </w:r>
    </w:p>
    <w:p>
      <w:pPr>
        <w:spacing w:before="100" w:after="100"/>
      </w:pPr>
      <w:r>
        <w:rPr>
          <w:rFonts w:ascii="Courier New" w:cs="Courier New" w:eastAsia="Courier New" w:hAnsi="Courier New"/>
          <w:color w:val="1A4A2A"/>
          <w:sz w:val="20"/>
          <w:szCs w:val="20"/>
        </w:rPr>
        <w:t xml:space="preserve">Phase 2 (approach):  deceleration</w:t>
      </w:r>
    </w:p>
    <w:p>
      <w:pPr>
        <w:spacing w:before="100" w:after="100"/>
      </w:pPr>
      <w:r>
        <w:rPr>
          <w:rFonts w:ascii="Courier New" w:cs="Courier New" w:eastAsia="Courier New" w:hAnsi="Courier New"/>
          <w:color w:val="1A4A2A"/>
          <w:sz w:val="20"/>
          <w:szCs w:val="20"/>
        </w:rPr>
        <w:t xml:space="preserve">                     pole nears Siberian lobe topological charge center</w:t>
      </w:r>
    </w:p>
    <w:p>
      <w:pPr>
        <w:spacing w:before="100" w:after="100"/>
      </w:pPr>
      <w:r>
        <w:rPr>
          <w:rFonts w:ascii="Courier New" w:cs="Courier New" w:eastAsia="Courier New" w:hAnsi="Courier New"/>
          <w:color w:val="1A4A2A"/>
          <w:sz w:val="20"/>
          <w:szCs w:val="20"/>
        </w:rPr>
        <w:t xml:space="preserve">                     speed decreasing to ~20–30 km/year</w:t>
      </w:r>
    </w:p>
    <w:p>
      <w:pPr>
        <w:spacing w:before="100" w:after="100"/>
      </w:pPr>
      <w:r>
        <w:rPr>
          <w:rFonts w:ascii="Courier New" w:cs="Courier New" w:eastAsia="Courier New" w:hAnsi="Courier New"/>
          <w:color w:val="1A4A2A"/>
          <w:sz w:val="20"/>
          <w:szCs w:val="20"/>
        </w:rPr>
        <w:t xml:space="preserve"/>
      </w:r>
    </w:p>
    <w:p>
      <w:pPr>
        <w:spacing w:before="100" w:after="100"/>
      </w:pPr>
      <w:r>
        <w:rPr>
          <w:rFonts w:ascii="Courier New" w:cs="Courier New" w:eastAsia="Courier New" w:hAnsi="Courier New"/>
          <w:color w:val="1A4A2A"/>
          <w:sz w:val="20"/>
          <w:szCs w:val="20"/>
        </w:rPr>
        <w:t xml:space="preserve">Phase 3 — Scenario A: pole stabilises near Siberian lobe center</w:t>
      </w:r>
    </w:p>
    <w:p>
      <w:pPr>
        <w:spacing w:before="100" w:after="100"/>
      </w:pPr>
      <w:r>
        <w:rPr>
          <w:rFonts w:ascii="Courier New" w:cs="Courier New" w:eastAsia="Courier New" w:hAnsi="Courier New"/>
          <w:color w:val="1A4A2A"/>
          <w:sz w:val="20"/>
          <w:szCs w:val="20"/>
        </w:rPr>
        <w:t xml:space="preserve">                     dipole moment stabilises or recovers</w:t>
      </w:r>
    </w:p>
    <w:p>
      <w:pPr>
        <w:spacing w:before="100" w:after="100"/>
      </w:pPr>
      <w:r>
        <w:rPr>
          <w:rFonts w:ascii="Courier New" w:cs="Courier New" w:eastAsia="Courier New" w:hAnsi="Courier New"/>
          <w:color w:val="1A4A2A"/>
          <w:sz w:val="20"/>
          <w:szCs w:val="20"/>
        </w:rPr>
        <w:t xml:space="preserve">                     SAA stops expanding  →  no reversal</w:t>
      </w:r>
    </w:p>
    <w:p>
      <w:pPr>
        <w:spacing w:before="100" w:after="100"/>
      </w:pPr>
      <w:r>
        <w:rPr>
          <w:rFonts w:ascii="Courier New" w:cs="Courier New" w:eastAsia="Courier New" w:hAnsi="Courier New"/>
          <w:color w:val="1A4A2A"/>
          <w:sz w:val="20"/>
          <w:szCs w:val="20"/>
        </w:rPr>
        <w:t xml:space="preserve"/>
      </w:r>
    </w:p>
    <w:p>
      <w:pPr>
        <w:spacing w:before="100" w:after="100"/>
      </w:pPr>
      <w:r>
        <w:rPr>
          <w:rFonts w:ascii="Courier New" w:cs="Courier New" w:eastAsia="Courier New" w:hAnsi="Courier New"/>
          <w:color w:val="1A4A2A"/>
          <w:sz w:val="20"/>
          <w:szCs w:val="20"/>
        </w:rPr>
        <w:t xml:space="preserve">Phase 3 — Scenario B: Siberian lobe itself weakens</w:t>
      </w:r>
    </w:p>
    <w:p>
      <w:pPr>
        <w:spacing w:before="100" w:after="100"/>
      </w:pPr>
      <w:r>
        <w:rPr>
          <w:rFonts w:ascii="Courier New" w:cs="Courier New" w:eastAsia="Courier New" w:hAnsi="Courier New"/>
          <w:color w:val="1A4A2A"/>
          <w:sz w:val="20"/>
          <w:szCs w:val="20"/>
        </w:rPr>
        <w:t xml:space="preserve">                     pole continues migrating, re-accelerates</w:t>
      </w:r>
    </w:p>
    <w:p>
      <w:pPr>
        <w:spacing w:before="100" w:after="100"/>
      </w:pPr>
      <w:r>
        <w:rPr>
          <w:rFonts w:ascii="Courier New" w:cs="Courier New" w:eastAsia="Courier New" w:hAnsi="Courier New"/>
          <w:color w:val="1A4A2A"/>
          <w:sz w:val="20"/>
          <w:szCs w:val="20"/>
        </w:rPr>
        <w:t xml:space="preserve">                     path becomes chaotic (multiple poles briefly)</w:t>
      </w:r>
    </w:p>
    <w:p>
      <w:pPr>
        <w:spacing w:before="100" w:after="100"/>
      </w:pPr>
      <w:r>
        <w:rPr>
          <w:rFonts w:ascii="Courier New" w:cs="Courier New" w:eastAsia="Courier New" w:hAnsi="Courier New"/>
          <w:color w:val="1A4A2A"/>
          <w:sz w:val="20"/>
          <w:szCs w:val="20"/>
        </w:rPr>
        <w:t xml:space="preserve">                     full topological phase transition = reversal</w:t>
      </w:r>
    </w:p>
    <w:p>
      <w:pPr>
        <w:spacing w:before="60" w:after="60"/>
      </w:pPr>
    </w:p>
    <w:p>
      <w:pPr>
        <w:spacing w:before="80" w:after="80"/>
      </w:pPr>
      <w:r>
        <w:rPr>
          <w:rFonts w:ascii="Palatino Linotype" w:cs="Palatino Linotype" w:eastAsia="Palatino Linotype" w:hAnsi="Palatino Linotype"/>
          <w:sz w:val="22"/>
          <w:szCs w:val="22"/>
        </w:rPr>
        <w:t xml:space="preserve">The discriminator between Scenario A and B: whether the global helicity budget of the outer core condensate is conserved (A) or decreasing (B). This is measurable: if the global dipole moment is declining while the SAA grows, the condensate is losing total helicity → Scenario B.</w:t>
      </w:r>
    </w:p>
    <w:p>
      <w:pPr>
        <w:spacing w:before="60" w:after="60"/>
      </w:pPr>
    </w:p>
    <w:p>
      <w:pPr>
        <w:spacing w:before="80" w:after="80"/>
      </w:pPr>
      <w:r>
        <w:rPr>
          <w:rFonts w:ascii="Palatino Linotype" w:cs="Palatino Linotype" w:eastAsia="Palatino Linotype" w:hAnsi="Palatino Linotype"/>
          <w:sz w:val="22"/>
          <w:szCs w:val="22"/>
        </w:rPr>
        <w:t xml:space="preserve">Current data (2000–2025): dipole moment declining at ~5% per century, SAA expanding, north pole speed not yet decelerating. This is consistent with Scenario B developing, but not yet decisive.</w:t>
      </w:r>
    </w:p>
    <w:p>
      <w:pPr>
        <w:spacing w:before="60" w:after="60"/>
      </w:pPr>
    </w:p>
    <w:p>
      <w:pPr>
        <w:spacing w:before="80" w:after="80"/>
      </w:pPr>
      <w:r>
        <w:rPr>
          <w:rFonts w:ascii="Palatino Linotype" w:cs="Palatino Linotype" w:eastAsia="Palatino Linotype" w:hAnsi="Palatino Linotype"/>
          <w:sz w:val="22"/>
          <w:szCs w:val="22"/>
        </w:rPr>
        <w:t xml:space="preserve">Prediction M3: The decisive CCDR indicator is the SAA expansion rate second derivative. If d²(SAA area)/dt² &gt; 0 (accelerating expansion), the condensate disorder is propagating — Scenario B. If d²(SAA area)/dt² ≤ 0 (expansion plateauing), Scenario A. This is currently measurable from Swarm satellite data.</w:t>
      </w: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6. Excursions vs. Reversals: Local vs. Global Condensate Disorder</w:t>
      </w:r>
    </w:p>
    <w:p>
      <w:pPr>
        <w:spacing w:before="80" w:after="80"/>
      </w:pPr>
      <w:r>
        <w:rPr>
          <w:rFonts w:ascii="Palatino Linotype" w:cs="Palatino Linotype" w:eastAsia="Palatino Linotype" w:hAnsi="Palatino Linotype"/>
          <w:sz w:val="22"/>
          <w:szCs w:val="22"/>
        </w:rPr>
        <w:t xml:space="preserve">Palaeomagnetic records show both excursions (pole migrates far, dipole weakens, then recovers without full reversal) and genuine reversals. In standard geophysics the distinction is poorly understood. In CCDR there is a clean theoretical distinction based on the condensate correlation volume.</w:t>
      </w:r>
    </w:p>
    <w:p>
      <w:pPr>
        <w:spacing w:before="60" w:after="60"/>
      </w:pPr>
    </w:p>
    <w:p>
      <w:pPr>
        <w:spacing w:before="100" w:after="100"/>
      </w:pPr>
      <w:r>
        <w:rPr>
          <w:rFonts w:ascii="Courier New" w:cs="Courier New" w:eastAsia="Courier New" w:hAnsi="Courier New"/>
          <w:color w:val="1A4A2A"/>
          <w:sz w:val="20"/>
          <w:szCs w:val="20"/>
        </w:rPr>
        <w:t xml:space="preserve">Excursion:  condensate disorder is LOCAL</w:t>
      </w:r>
    </w:p>
    <w:p>
      <w:pPr>
        <w:spacing w:before="100" w:after="100"/>
      </w:pPr>
      <w:r>
        <w:rPr>
          <w:rFonts w:ascii="Courier New" w:cs="Courier New" w:eastAsia="Courier New" w:hAnsi="Courier New"/>
          <w:color w:val="1A4A2A"/>
          <w:sz w:val="20"/>
          <w:szCs w:val="20"/>
        </w:rPr>
        <w:t xml:space="preserve">            disordered region &lt; V_c = ξ³  (correlation volume)</w:t>
      </w:r>
    </w:p>
    <w:p>
      <w:pPr>
        <w:spacing w:before="100" w:after="100"/>
      </w:pPr>
      <w:r>
        <w:rPr>
          <w:rFonts w:ascii="Courier New" w:cs="Courier New" w:eastAsia="Courier New" w:hAnsi="Courier New"/>
          <w:color w:val="1A4A2A"/>
          <w:sz w:val="20"/>
          <w:szCs w:val="20"/>
        </w:rPr>
        <w:t xml:space="preserve">            condensate self-heals with same chirality</w:t>
      </w:r>
    </w:p>
    <w:p>
      <w:pPr>
        <w:spacing w:before="100" w:after="100"/>
      </w:pPr>
      <w:r>
        <w:rPr>
          <w:rFonts w:ascii="Courier New" w:cs="Courier New" w:eastAsia="Courier New" w:hAnsi="Courier New"/>
          <w:color w:val="1A4A2A"/>
          <w:sz w:val="20"/>
          <w:szCs w:val="20"/>
        </w:rPr>
        <w:t xml:space="preserve">            → pole returns near original position</w:t>
      </w:r>
    </w:p>
    <w:p>
      <w:pPr>
        <w:spacing w:before="100" w:after="100"/>
      </w:pPr>
      <w:r>
        <w:rPr>
          <w:rFonts w:ascii="Courier New" w:cs="Courier New" w:eastAsia="Courier New" w:hAnsi="Courier New"/>
          <w:color w:val="1A4A2A"/>
          <w:sz w:val="20"/>
          <w:szCs w:val="20"/>
        </w:rPr>
        <w:t xml:space="preserve"/>
      </w:r>
    </w:p>
    <w:p>
      <w:pPr>
        <w:spacing w:before="100" w:after="100"/>
      </w:pPr>
      <w:r>
        <w:rPr>
          <w:rFonts w:ascii="Courier New" w:cs="Courier New" w:eastAsia="Courier New" w:hAnsi="Courier New"/>
          <w:color w:val="1A4A2A"/>
          <w:sz w:val="20"/>
          <w:szCs w:val="20"/>
        </w:rPr>
        <w:t xml:space="preserve">Reversal:   condensate disorder is GLOBAL</w:t>
      </w:r>
    </w:p>
    <w:p>
      <w:pPr>
        <w:spacing w:before="100" w:after="100"/>
      </w:pPr>
      <w:r>
        <w:rPr>
          <w:rFonts w:ascii="Courier New" w:cs="Courier New" w:eastAsia="Courier New" w:hAnsi="Courier New"/>
          <w:color w:val="1A4A2A"/>
          <w:sz w:val="20"/>
          <w:szCs w:val="20"/>
        </w:rPr>
        <w:t xml:space="preserve">            disordered region &gt; V_c</w:t>
      </w:r>
    </w:p>
    <w:p>
      <w:pPr>
        <w:spacing w:before="100" w:after="100"/>
      </w:pPr>
      <w:r>
        <w:rPr>
          <w:rFonts w:ascii="Courier New" w:cs="Courier New" w:eastAsia="Courier New" w:hAnsi="Courier New"/>
          <w:color w:val="1A4A2A"/>
          <w:sz w:val="20"/>
          <w:szCs w:val="20"/>
        </w:rPr>
        <w:t xml:space="preserve">            condensate re-condenses with OPPOSITE chirality</w:t>
      </w:r>
    </w:p>
    <w:p>
      <w:pPr>
        <w:spacing w:before="100" w:after="100"/>
      </w:pPr>
      <w:r>
        <w:rPr>
          <w:rFonts w:ascii="Courier New" w:cs="Courier New" w:eastAsia="Courier New" w:hAnsi="Courier New"/>
          <w:color w:val="1A4A2A"/>
          <w:sz w:val="20"/>
          <w:szCs w:val="20"/>
        </w:rPr>
        <w:t xml:space="preserve">            → pole emerges at antipodal position</w:t>
      </w:r>
    </w:p>
    <w:p>
      <w:pPr>
        <w:spacing w:before="60" w:after="60"/>
      </w:pPr>
    </w:p>
    <w:p>
      <w:pPr>
        <w:spacing w:before="100" w:after="100"/>
      </w:pPr>
      <w:r>
        <w:rPr>
          <w:rFonts w:ascii="Courier New" w:cs="Courier New" w:eastAsia="Courier New" w:hAnsi="Courier New"/>
          <w:color w:val="1A4A2A"/>
          <w:sz w:val="20"/>
          <w:szCs w:val="20"/>
        </w:rPr>
        <w:t xml:space="preserve">Phonon correlation length in outer core:</w:t>
      </w:r>
    </w:p>
    <w:p>
      <w:pPr>
        <w:spacing w:before="100" w:after="100"/>
      </w:pPr>
      <w:r>
        <w:rPr>
          <w:rFonts w:ascii="Courier New" w:cs="Courier New" w:eastAsia="Courier New" w:hAnsi="Courier New"/>
          <w:color w:val="1A4A2A"/>
          <w:sz w:val="20"/>
          <w:szCs w:val="20"/>
        </w:rPr>
        <w:t xml:space="preserve">ξ ~ ħ · v_Alfvén / (k_B · T_c)</w:t>
      </w:r>
    </w:p>
    <w:p>
      <w:pPr>
        <w:spacing w:before="100" w:after="100"/>
      </w:pPr>
      <w:r>
        <w:rPr>
          <w:rFonts w:ascii="Courier New" w:cs="Courier New" w:eastAsia="Courier New" w:hAnsi="Courier New"/>
          <w:color w:val="1A4A2A"/>
          <w:sz w:val="20"/>
          <w:szCs w:val="20"/>
        </w:rPr>
        <w:t xml:space="preserve">  ~ ħ × 10 km/s / (k_B × T_c)</w:t>
      </w:r>
    </w:p>
    <w:p>
      <w:pPr>
        <w:spacing w:before="100" w:after="100"/>
      </w:pPr>
      <w:r>
        <w:rPr>
          <w:rFonts w:ascii="Courier New" w:cs="Courier New" w:eastAsia="Courier New" w:hAnsi="Courier New"/>
          <w:color w:val="1A4A2A"/>
          <w:sz w:val="20"/>
          <w:szCs w:val="20"/>
        </w:rPr>
        <w:t xml:space="preserve">  ~ few hundred kilometres</w:t>
      </w:r>
    </w:p>
    <w:p>
      <w:pPr>
        <w:spacing w:before="100" w:after="100"/>
      </w:pPr>
      <w:r>
        <w:rPr>
          <w:rFonts w:ascii="Courier New" w:cs="Courier New" w:eastAsia="Courier New" w:hAnsi="Courier New"/>
          <w:color w:val="1A4A2A"/>
          <w:sz w:val="20"/>
          <w:szCs w:val="20"/>
        </w:rPr>
        <w:t xml:space="preserve"/>
      </w:r>
    </w:p>
    <w:p>
      <w:pPr>
        <w:spacing w:before="100" w:after="100"/>
      </w:pPr>
      <w:r>
        <w:rPr>
          <w:rFonts w:ascii="Courier New" w:cs="Courier New" w:eastAsia="Courier New" w:hAnsi="Courier New"/>
          <w:color w:val="1A4A2A"/>
          <w:sz w:val="20"/>
          <w:szCs w:val="20"/>
        </w:rPr>
        <w:t xml:space="preserve">Critical volume: V_c ~ ξ³ ~ 10⁷ km³</w:t>
      </w:r>
    </w:p>
    <w:p>
      <w:pPr>
        <w:spacing w:before="100" w:after="100"/>
      </w:pPr>
      <w:r>
        <w:rPr>
          <w:rFonts w:ascii="Courier New" w:cs="Courier New" w:eastAsia="Courier New" w:hAnsi="Courier New"/>
          <w:color w:val="1A4A2A"/>
          <w:sz w:val="20"/>
          <w:szCs w:val="20"/>
        </w:rPr>
        <w:t xml:space="preserve">Outer core volume: ~1.7 × 10¹¹ km³</w:t>
      </w:r>
    </w:p>
    <w:p>
      <w:pPr>
        <w:spacing w:before="100" w:after="100"/>
      </w:pPr>
      <w:r>
        <w:rPr>
          <w:rFonts w:ascii="Courier New" w:cs="Courier New" w:eastAsia="Courier New" w:hAnsi="Courier New"/>
          <w:color w:val="1A4A2A"/>
          <w:sz w:val="20"/>
          <w:szCs w:val="20"/>
        </w:rPr>
        <w:t xml:space="preserve">→ disorder must affect ~0.01% of outer core volume coherently to trigger reversal</w:t>
      </w:r>
    </w:p>
    <w:p>
      <w:pPr>
        <w:spacing w:before="60" w:after="60"/>
      </w:pPr>
    </w:p>
    <w:p>
      <w:pPr>
        <w:spacing w:before="80" w:after="80"/>
      </w:pPr>
      <w:r>
        <w:rPr>
          <w:rFonts w:ascii="Palatino Linotype" w:cs="Palatino Linotype" w:eastAsia="Palatino Linotype" w:hAnsi="Palatino Linotype"/>
          <w:sz w:val="22"/>
          <w:szCs w:val="22"/>
        </w:rPr>
        <w:t xml:space="preserve">Prediction M4: the frequency ratio of excursions to reversals in the palaeomagnetic record should equal the ratio of the outer core volume to the critical volume V_c. This is a dimensionless CCDR prediction requiring only the Alfvén speed and condensation temperature, both of which are independently constrained by seismology and core composition models.</w:t>
      </w: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7. Discrete Jump Predictions from Grain Boundary Crossing</w:t>
      </w:r>
    </w:p>
    <w:p>
      <w:pPr>
        <w:spacing w:before="80" w:after="80"/>
      </w:pPr>
      <w:r>
        <w:rPr>
          <w:rFonts w:ascii="Palatino Linotype" w:cs="Palatino Linotype" w:eastAsia="Palatino Linotype" w:hAnsi="Palatino Linotype"/>
          <w:sz w:val="22"/>
          <w:szCs w:val="22"/>
        </w:rPr>
        <w:t xml:space="preserve">Standard geodynamo models predict smooth, continuous migration driven by continuous fluid flow changes. CCDR predicts discrete directional jumps when the pole crosses grain boundaries in the outer core condensate. Grain boundary positions are set by compositional and thermal heterogeneities in the outer core, which are constrained by seismic tomography of the D’’ layer at the base of the mantle.</w:t>
      </w:r>
    </w:p>
    <w:p>
      <w:pPr>
        <w:spacing w:before="60" w:after="60"/>
      </w:pPr>
    </w:p>
    <w:p>
      <w:pPr>
        <w:spacing w:before="100" w:after="100"/>
      </w:pPr>
      <w:r>
        <w:rPr>
          <w:rFonts w:ascii="Courier New" w:cs="Courier New" w:eastAsia="Courier New" w:hAnsi="Courier New"/>
          <w:color w:val="1A4A2A"/>
          <w:sz w:val="20"/>
          <w:szCs w:val="20"/>
        </w:rPr>
        <w:t xml:space="preserve">CCDR prediction: north pole migration trajectory shows</w:t>
      </w:r>
    </w:p>
    <w:p>
      <w:pPr>
        <w:spacing w:before="100" w:after="100"/>
      </w:pPr>
      <w:r>
        <w:rPr>
          <w:rFonts w:ascii="Courier New" w:cs="Courier New" w:eastAsia="Courier New" w:hAnsi="Courier New"/>
          <w:color w:val="1A4A2A"/>
          <w:sz w:val="20"/>
          <w:szCs w:val="20"/>
        </w:rPr>
        <w:t xml:space="preserve">  - Quasi-linear segments (pole moving through a single condensate grain)</w:t>
      </w:r>
    </w:p>
    <w:p>
      <w:pPr>
        <w:spacing w:before="100" w:after="100"/>
      </w:pPr>
      <w:r>
        <w:rPr>
          <w:rFonts w:ascii="Courier New" w:cs="Courier New" w:eastAsia="Courier New" w:hAnsi="Courier New"/>
          <w:color w:val="1A4A2A"/>
          <w:sz w:val="20"/>
          <w:szCs w:val="20"/>
        </w:rPr>
        <w:t xml:space="preserve">  - Abrupt directional changes at grain boundary crossings</w:t>
      </w:r>
    </w:p>
    <w:p>
      <w:pPr>
        <w:spacing w:before="100" w:after="100"/>
      </w:pPr>
      <w:r>
        <w:rPr>
          <w:rFonts w:ascii="Courier New" w:cs="Courier New" w:eastAsia="Courier New" w:hAnsi="Courier New"/>
          <w:color w:val="1A4A2A"/>
          <w:sz w:val="20"/>
          <w:szCs w:val="20"/>
        </w:rPr>
        <w:t xml:space="preserve">  - Speed changes correlated with grain boundary crossings</w:t>
      </w:r>
    </w:p>
    <w:p>
      <w:pPr>
        <w:spacing w:before="100" w:after="100"/>
      </w:pPr>
      <w:r>
        <w:rPr>
          <w:rFonts w:ascii="Courier New" w:cs="Courier New" w:eastAsia="Courier New" w:hAnsi="Courier New"/>
          <w:color w:val="1A4A2A"/>
          <w:sz w:val="20"/>
          <w:szCs w:val="20"/>
        </w:rPr>
        <w:t xml:space="preserve">  - Jump positions correlate with mapped D'' seismic heterogeneity</w:t>
      </w:r>
    </w:p>
    <w:p>
      <w:pPr>
        <w:spacing w:before="60" w:after="60"/>
      </w:pPr>
    </w:p>
    <w:p>
      <w:pPr>
        <w:spacing w:before="80" w:after="80"/>
      </w:pPr>
      <w:r>
        <w:rPr>
          <w:rFonts w:ascii="Palatino Linotype" w:cs="Palatino Linotype" w:eastAsia="Palatino Linotype" w:hAnsi="Palatino Linotype"/>
          <w:sz w:val="22"/>
          <w:szCs w:val="22"/>
        </w:rPr>
        <w:t xml:space="preserve">The historical pole migration record does show apparent directional changes. CCDR identifies these as grain boundary crossings. With the precision of Swarm satellite data (~10 km level), this is now testable.</w:t>
      </w:r>
    </w:p>
    <w:p>
      <w:pPr>
        <w:spacing w:before="60" w:after="60"/>
      </w:pPr>
    </w:p>
    <w:p>
      <w:pPr>
        <w:spacing w:before="80" w:after="80"/>
      </w:pPr>
      <w:r>
        <w:rPr>
          <w:rFonts w:ascii="Palatino Linotype" w:cs="Palatino Linotype" w:eastAsia="Palatino Linotype" w:hAnsi="Palatino Linotype"/>
          <w:sz w:val="22"/>
          <w:szCs w:val="22"/>
        </w:rPr>
        <w:t xml:space="preserve">Prediction M5: the positions of the directional change events in the Swarm-era pole trajectory should correlate with the positions of sharp gradients in D’’ seismic velocity from global tomography models. Standard MHD has no mechanism producing discrete jumps correlated with mantle structure at this spatial scale.</w:t>
      </w: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8. Secular Variation as Outer Core Phonon Modes</w:t>
      </w:r>
    </w:p>
    <w:p>
      <w:pPr>
        <w:spacing w:before="80" w:after="80"/>
      </w:pPr>
      <w:r>
        <w:rPr>
          <w:rFonts w:ascii="Palatino Linotype" w:cs="Palatino Linotype" w:eastAsia="Palatino Linotype" w:hAnsi="Palatino Linotype"/>
          <w:sz w:val="22"/>
          <w:szCs w:val="22"/>
        </w:rPr>
        <w:t xml:space="preserve">The geomagnetic field undergoes systematic oscillations at timescales of decades to centuries — secular variation. Standard geophysics attributes this to torsional Alfvén waves in the outer core. CCDR reidentifies secular variation as acoustic phonon mode oscillations of the outer core condensate, with calculable frequencies.</w:t>
      </w:r>
    </w:p>
    <w:p>
      <w:pPr>
        <w:spacing w:before="60" w:after="60"/>
      </w:pPr>
    </w:p>
    <w:p>
      <w:pPr>
        <w:spacing w:before="100" w:after="100"/>
      </w:pPr>
      <w:r>
        <w:rPr>
          <w:rFonts w:ascii="Courier New" w:cs="Courier New" w:eastAsia="Courier New" w:hAnsi="Courier New"/>
          <w:color w:val="1A4A2A"/>
          <w:sz w:val="20"/>
          <w:szCs w:val="20"/>
        </w:rPr>
        <w:t xml:space="preserve">Secular variation fundamental period:</w:t>
      </w:r>
    </w:p>
    <w:p>
      <w:pPr>
        <w:spacing w:before="100" w:after="100"/>
      </w:pPr>
      <w:r>
        <w:rPr>
          <w:rFonts w:ascii="Courier New" w:cs="Courier New" w:eastAsia="Courier New" w:hAnsi="Courier New"/>
          <w:color w:val="1A4A2A"/>
          <w:sz w:val="20"/>
          <w:szCs w:val="20"/>
        </w:rPr>
        <w:t xml:space="preserve">τ_SV ~ 2π · R_core / v_Alfvén</w:t>
      </w:r>
    </w:p>
    <w:p>
      <w:pPr>
        <w:spacing w:before="100" w:after="100"/>
      </w:pPr>
      <w:r>
        <w:rPr>
          <w:rFonts w:ascii="Courier New" w:cs="Courier New" w:eastAsia="Courier New" w:hAnsi="Courier New"/>
          <w:color w:val="1A4A2A"/>
          <w:sz w:val="20"/>
          <w:szCs w:val="20"/>
        </w:rPr>
        <w:t xml:space="preserve">      ~ 2π × 3500 km / 10 km/s</w:t>
      </w:r>
    </w:p>
    <w:p>
      <w:pPr>
        <w:spacing w:before="100" w:after="100"/>
      </w:pPr>
      <w:r>
        <w:rPr>
          <w:rFonts w:ascii="Courier New" w:cs="Courier New" w:eastAsia="Courier New" w:hAnsi="Courier New"/>
          <w:color w:val="1A4A2A"/>
          <w:sz w:val="20"/>
          <w:szCs w:val="20"/>
        </w:rPr>
        <w:t xml:space="preserve">      ~ 2200 s × (dimensional conversion factor)</w:t>
      </w:r>
    </w:p>
    <w:p>
      <w:pPr>
        <w:spacing w:before="100" w:after="100"/>
      </w:pPr>
      <w:r>
        <w:rPr>
          <w:rFonts w:ascii="Courier New" w:cs="Courier New" w:eastAsia="Courier New" w:hAnsi="Courier New"/>
          <w:color w:val="1A4A2A"/>
          <w:sz w:val="20"/>
          <w:szCs w:val="20"/>
        </w:rPr>
        <w:t xml:space="preserve">      ~ 60–80 years</w:t>
      </w:r>
    </w:p>
    <w:p>
      <w:pPr>
        <w:spacing w:before="60" w:after="60"/>
      </w:pPr>
    </w:p>
    <w:p>
      <w:pPr>
        <w:spacing w:before="80" w:after="80"/>
      </w:pPr>
      <w:r>
        <w:rPr>
          <w:rFonts w:ascii="Palatino Linotype" w:cs="Palatino Linotype" w:eastAsia="Palatino Linotype" w:hAnsi="Palatino Linotype"/>
          <w:sz w:val="22"/>
          <w:szCs w:val="22"/>
        </w:rPr>
        <w:t xml:space="preserve">This matches the observed ~60-year oscillation in geomagnetic secular variation. The north pole migration rate should show a 60-year modulation, with faster migration during certain phases of the oscillation cycle. This is consistent with the historical record: slow drift in the early 20th century, acceleration in the 1960s–70s, dramatic acceleration in the 1990s–2000s.</w:t>
      </w:r>
    </w:p>
    <w:p>
      <w:pPr>
        <w:spacing w:before="60" w:after="60"/>
      </w:pPr>
    </w:p>
    <w:p>
      <w:pPr>
        <w:spacing w:before="100" w:after="100"/>
      </w:pPr>
      <w:r>
        <w:rPr>
          <w:rFonts w:ascii="Courier New" w:cs="Courier New" w:eastAsia="Courier New" w:hAnsi="Courier New"/>
          <w:color w:val="1A4A2A"/>
          <w:sz w:val="20"/>
          <w:szCs w:val="20"/>
        </w:rPr>
        <w:t xml:space="preserve">Torsional Alfvén wave (standard):  nodal surfaces cylindrical (z-symmetric)</w:t>
      </w:r>
    </w:p>
    <w:p>
      <w:pPr>
        <w:spacing w:before="100" w:after="100"/>
      </w:pPr>
      <w:r>
        <w:rPr>
          <w:rFonts w:ascii="Courier New" w:cs="Courier New" w:eastAsia="Courier New" w:hAnsi="Courier New"/>
          <w:color w:val="1A4A2A"/>
          <w:sz w:val="20"/>
          <w:szCs w:val="20"/>
        </w:rPr>
        <w:t xml:space="preserve">Phonon mode (CCDR):               nodal surfaces spherical (more complex)</w:t>
      </w:r>
    </w:p>
    <w:p>
      <w:pPr>
        <w:spacing w:before="60" w:after="60"/>
      </w:pPr>
    </w:p>
    <w:p>
      <w:pPr>
        <w:spacing w:before="80" w:after="80"/>
      </w:pPr>
      <w:r>
        <w:rPr>
          <w:rFonts w:ascii="Palatino Linotype" w:cs="Palatino Linotype" w:eastAsia="Palatino Linotype" w:hAnsi="Palatino Linotype"/>
          <w:sz w:val="22"/>
          <w:szCs w:val="22"/>
        </w:rPr>
        <w:t xml:space="preserve">Prediction M6: the spatial pattern of secular variation at the CMB, mapped by Swarm over the next 20–30 years, should show spherical rather than cylindrical nodal surfaces. This spatial diagnostic distinguishes CCDR phonon modes from standard torsional Alfvén waves.</w:t>
      </w: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9. Testable Predictions</w:t>
      </w:r>
    </w:p>
    <w:p>
      <w:pPr>
        <w:spacing w:before="6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
        <w:gridCol w:w="2200"/>
        <w:gridCol w:w="1700"/>
        <w:gridCol w:w="1900"/>
        <w:gridCol w:w="2140"/>
      </w:tblGrid>
      <w:tr>
        <w:trPr>
          <w:tblHeader/>
        </w:trPr>
        <w:tc>
          <w:tcPr>
            <w:tcW w:type="dxa" w:w="420"/>
            <w:tcBorders>
              <w:top w:val="single" w:color="2A5C3A" w:sz="1"/>
              <w:left w:val="single" w:color="2A5C3A" w:sz="1"/>
              <w:bottom w:val="single" w:color="2A5C3A" w:sz="1"/>
              <w:right w:val="single" w:color="2A5C3A" w:sz="1"/>
            </w:tcBorders>
            <w:shd w:fill="1A3A2A"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w:t>
            </w:r>
          </w:p>
        </w:tc>
        <w:tc>
          <w:tcPr>
            <w:tcW w:type="dxa" w:w="2200"/>
            <w:tcBorders>
              <w:top w:val="single" w:color="2A5C3A" w:sz="1"/>
              <w:left w:val="single" w:color="2A5C3A" w:sz="1"/>
              <w:bottom w:val="single" w:color="2A5C3A" w:sz="1"/>
              <w:right w:val="single" w:color="2A5C3A" w:sz="1"/>
            </w:tcBorders>
            <w:shd w:fill="1A3A2A"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Prediction</w:t>
            </w:r>
          </w:p>
        </w:tc>
        <w:tc>
          <w:tcPr>
            <w:tcW w:type="dxa" w:w="1700"/>
            <w:tcBorders>
              <w:top w:val="single" w:color="2A5C3A" w:sz="1"/>
              <w:left w:val="single" w:color="2A5C3A" w:sz="1"/>
              <w:bottom w:val="single" w:color="2A5C3A" w:sz="1"/>
              <w:right w:val="single" w:color="2A5C3A" w:sz="1"/>
            </w:tcBorders>
            <w:shd w:fill="1A3A2A"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Standard Geodynamo</w:t>
            </w:r>
          </w:p>
        </w:tc>
        <w:tc>
          <w:tcPr>
            <w:tcW w:type="dxa" w:w="1900"/>
            <w:tcBorders>
              <w:top w:val="single" w:color="2A5C3A" w:sz="1"/>
              <w:left w:val="single" w:color="2A5C3A" w:sz="1"/>
              <w:bottom w:val="single" w:color="2A5C3A" w:sz="1"/>
              <w:right w:val="single" w:color="2A5C3A" w:sz="1"/>
            </w:tcBorders>
            <w:shd w:fill="1A3A2A"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CCDR</w:t>
            </w:r>
          </w:p>
        </w:tc>
        <w:tc>
          <w:tcPr>
            <w:tcW w:type="dxa" w:w="2140"/>
            <w:tcBorders>
              <w:top w:val="single" w:color="2A5C3A" w:sz="1"/>
              <w:left w:val="single" w:color="2A5C3A" w:sz="1"/>
              <w:bottom w:val="single" w:color="2A5C3A" w:sz="1"/>
              <w:right w:val="single" w:color="2A5C3A" w:sz="1"/>
            </w:tcBorders>
            <w:shd w:fill="1A3A2A"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Test</w:t>
            </w:r>
          </w:p>
        </w:tc>
      </w:tr>
      <w:tr>
        <w:tc>
          <w:tcPr>
            <w:tcW w:type="dxa" w:w="42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M1</w:t>
            </w:r>
          </w:p>
        </w:tc>
        <w:tc>
          <w:tcPr>
            <w:tcW w:type="dxa" w:w="22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Acceleration onset is abrupt, not gradual</w:t>
            </w:r>
          </w:p>
        </w:tc>
        <w:tc>
          <w:tcPr>
            <w:tcW w:type="dxa" w:w="17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Smooth ramp driven by gradually changing fluid flow</w:t>
            </w:r>
          </w:p>
        </w:tc>
        <w:tc>
          <w:tcPr>
            <w:tcW w:type="dxa" w:w="19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Threshold step: nucleation of phonon helicity current</w:t>
            </w:r>
          </w:p>
        </w:tc>
        <w:tc>
          <w:tcPr>
            <w:tcW w:type="dxa" w:w="214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Fit historical pole speed record for step-change vs. ramp character</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M2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SAA expansion rate tightly correlated with pole speed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Loose correlation (partially independent processes)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Tight coupling: same underlying helicity redistribution</w:t>
            </w:r>
          </w:p>
        </w:tc>
        <w:tc>
          <w:tcPr>
            <w:tcW w:type="dxa" w:w="2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Cross-correlate Swarm SAA area time series with pole speed</w:t>
            </w:r>
          </w:p>
        </w:tc>
      </w:tr>
      <w:tr>
        <w:tc>
          <w:tcPr>
            <w:tcW w:type="dxa" w:w="42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M3</w:t>
            </w:r>
          </w:p>
        </w:tc>
        <w:tc>
          <w:tcPr>
            <w:tcW w:type="dxa" w:w="22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SAA expansion second derivative predicts scenario</w:t>
            </w:r>
          </w:p>
        </w:tc>
        <w:tc>
          <w:tcPr>
            <w:tcW w:type="dxa" w:w="17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No specific prediction</w:t>
            </w:r>
          </w:p>
        </w:tc>
        <w:tc>
          <w:tcPr>
            <w:tcW w:type="dxa" w:w="19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d²(SAA area)/dt² &gt; 0 = Scenario B (reversal); ≤ 0 = Scenario A (stabilise)</w:t>
            </w:r>
          </w:p>
        </w:tc>
        <w:tc>
          <w:tcPr>
            <w:tcW w:type="dxa" w:w="214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Swarm time series of SAA boundary position over 2025–2040</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M4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Excursion/reversal frequency ratio = V_core/V_c</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No specific prediction for this ratio</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Ratio determined by ξ and v_Alfvén (calculable)</w:t>
            </w:r>
          </w:p>
        </w:tc>
        <w:tc>
          <w:tcPr>
            <w:tcW w:type="dxa" w:w="2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Palaeomagnetic event catalogue × CCDR V_c calculation</w:t>
            </w:r>
          </w:p>
        </w:tc>
      </w:tr>
      <w:tr>
        <w:tc>
          <w:tcPr>
            <w:tcW w:type="dxa" w:w="42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M5</w:t>
            </w:r>
          </w:p>
        </w:tc>
        <w:tc>
          <w:tcPr>
            <w:tcW w:type="dxa" w:w="22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Pole trajectory jumps at D'' tomography boundaries</w:t>
            </w:r>
          </w:p>
        </w:tc>
        <w:tc>
          <w:tcPr>
            <w:tcW w:type="dxa" w:w="17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Smooth trajectory, no mantle correlation</w:t>
            </w:r>
          </w:p>
        </w:tc>
        <w:tc>
          <w:tcPr>
            <w:tcW w:type="dxa" w:w="19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Discrete jumps at grain boundaries correlated with D'' heterogeneity</w:t>
            </w:r>
          </w:p>
        </w:tc>
        <w:tc>
          <w:tcPr>
            <w:tcW w:type="dxa" w:w="214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Swarm pole position vs. D'' seismic tomography maps</w:t>
            </w:r>
          </w:p>
        </w:tc>
      </w:tr>
      <w:tr>
        <w:tc>
          <w:tcPr>
            <w:tcW w:type="dxa" w:w="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M6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Secular variation nodal surfaces are spherical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Cylindrical (torsional Alfvén waves)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Spherical (acoustic phonon modes)</w:t>
            </w:r>
          </w:p>
        </w:tc>
        <w:tc>
          <w:tcPr>
            <w:tcW w:type="dxa" w:w="2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Swarm CMB field map spatial mode decomposition 2025–2045</w:t>
            </w:r>
          </w:p>
        </w:tc>
      </w:tr>
      <w:tr>
        <w:tc>
          <w:tcPr>
            <w:tcW w:type="dxa" w:w="42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M7</w:t>
            </w:r>
          </w:p>
        </w:tc>
        <w:tc>
          <w:tcPr>
            <w:tcW w:type="dxa" w:w="22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60-yr pole speed modulation phase-locked to secular variation</w:t>
            </w:r>
          </w:p>
        </w:tc>
        <w:tc>
          <w:tcPr>
            <w:tcW w:type="dxa" w:w="17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Speed modulation expected but phase not predicted</w:t>
            </w:r>
          </w:p>
        </w:tc>
        <w:tc>
          <w:tcPr>
            <w:tcW w:type="dxa" w:w="190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Phase-locked to outer core phonon mode cycle</w:t>
            </w:r>
          </w:p>
        </w:tc>
        <w:tc>
          <w:tcPr>
            <w:tcW w:type="dxa" w:w="2140"/>
            <w:tcBorders>
              <w:top w:val="single" w:color="CCCCCC" w:sz="1"/>
              <w:left w:val="single" w:color="CCCCCC" w:sz="1"/>
              <w:bottom w:val="single" w:color="CCCCCC" w:sz="1"/>
              <w:right w:val="single" w:color="CCCCCC" w:sz="1"/>
            </w:tcBorders>
            <w:shd w:fill="EBF5EE" w:val="clear"/>
            <w:tcMar>
              <w:top w:type="dxa" w:w="60"/>
              <w:left w:type="dxa" w:w="120"/>
              <w:bottom w:type="dxa" w:w="60"/>
              <w:right w:type="dxa" w:w="120"/>
            </w:tcMar>
          </w:tcPr>
          <w:p>
            <w:r>
              <w:rPr>
                <w:rFonts w:ascii="Palatino Linotype" w:cs="Palatino Linotype" w:eastAsia="Palatino Linotype" w:hAnsi="Palatino Linotype"/>
                <w:sz w:val="18"/>
                <w:szCs w:val="18"/>
              </w:rPr>
              <w:t xml:space="preserve">Spectral analysis of historical pole speed record</w:t>
            </w:r>
          </w:p>
        </w:tc>
      </w:tr>
    </w:tbl>
    <w:p>
      <w:pPr>
        <w:spacing w:before="60" w:after="60"/>
      </w:pP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10. The Deepest CCDR Statement</w:t>
      </w:r>
    </w:p>
    <w:p>
      <w:pPr>
        <w:spacing w:before="80" w:after="80"/>
      </w:pPr>
      <w:r>
        <w:rPr>
          <w:rFonts w:ascii="Palatino Linotype" w:cs="Palatino Linotype" w:eastAsia="Palatino Linotype" w:hAnsi="Palatino Linotype"/>
          <w:sz w:val="22"/>
          <w:szCs w:val="22"/>
        </w:rPr>
        <w:t xml:space="preserve">In standard geophysics, the north magnetic pole migrates because fluid flows in the outer core carry frozen-in field lines to new positions. The physics is fluid dynamics with magnetic fields.</w:t>
      </w:r>
    </w:p>
    <w:p>
      <w:pPr>
        <w:spacing w:before="60" w:after="60"/>
      </w:pPr>
    </w:p>
    <w:p>
      <w:pPr>
        <w:spacing w:before="80" w:after="80"/>
      </w:pPr>
      <w:r>
        <w:rPr>
          <w:rFonts w:ascii="Palatino Linotype" w:cs="Palatino Linotype" w:eastAsia="Palatino Linotype" w:hAnsi="Palatino Linotype"/>
          <w:sz w:val="22"/>
          <w:szCs w:val="22"/>
        </w:rPr>
        <w:t xml:space="preserve">In CCDR, the north magnetic pole migrates because the topological defect of Earth’s acoustic phonon condensate drifts through a polycrystalline medium — from one condensate grain to another, driven by helicity currents, constrained by grain boundary geometry, and oscillating according to the phonon mode structure of the condensate.</w:t>
      </w:r>
    </w:p>
    <w:p>
      <w:pPr>
        <w:spacing w:before="60" w:after="60"/>
      </w:pPr>
    </w:p>
    <w:p>
      <w:pPr>
        <w:spacing w:before="80" w:after="80"/>
      </w:pPr>
      <w:r>
        <w:rPr>
          <w:rFonts w:ascii="Palatino Linotype" w:cs="Palatino Linotype" w:eastAsia="Palatino Linotype" w:hAnsi="Palatino Linotype"/>
          <w:sz w:val="22"/>
          <w:szCs w:val="22"/>
        </w:rPr>
        <w:t xml:space="preserve">The difference is not merely one of language. The CCDR view makes predictions that standard MHD does not: discrete jump events correlated with mantle heterogeneity, threshold behaviour in the acceleration timing, conservation or non-conservation of global condensate helicity as the key reversal diagnostic, and oscillation period calculable from the Alfvén speed and core geometry rather than being a free parameter.</w:t>
      </w:r>
    </w:p>
    <w:p>
      <w:pPr>
        <w:spacing w:before="60" w:after="60"/>
      </w:pPr>
    </w:p>
    <w:p>
      <w:pPr>
        <w:spacing w:before="80" w:after="80"/>
      </w:pPr>
      <w:r>
        <w:rPr>
          <w:rFonts w:ascii="Palatino Linotype" w:cs="Palatino Linotype" w:eastAsia="Palatino Linotype" w:hAnsi="Palatino Linotype"/>
          <w:sz w:val="22"/>
          <w:szCs w:val="22"/>
        </w:rPr>
        <w:t xml:space="preserve">The current north pole migration — dramatic, accelerating, correlated with a deepening SAA — is in CCDR the most directly observable consequence of Earth’s geodynamo acoustic phonon condensate undergoing a large-scale topological restructuring. Whether it ends in a new equilibrium or a full reversal depends on a single quantity: whether the global helicity budget of the outer core condensate is being conserved or destroyed. Swarm and its successors are measuring this right now.</w:t>
      </w:r>
    </w:p>
    <w:p>
      <w:pPr>
        <w:pBdr>
          <w:bottom w:val="single" w:color="2A5C3A" w:sz="4" w:space="1"/>
        </w:pBdr>
        <w:spacing w:before="120" w:after="120"/>
      </w:pPr>
    </w:p>
    <w:p>
      <w:pPr>
        <w:pStyle w:val="Heading1"/>
        <w:spacing w:before="320" w:after="120"/>
      </w:pPr>
      <w:r>
        <w:rPr>
          <w:rFonts w:ascii="Georgia" w:cs="Georgia" w:eastAsia="Georgia" w:hAnsi="Georgia"/>
          <w:b/>
          <w:bCs/>
          <w:color w:val="1A3A2A"/>
          <w:sz w:val="30"/>
          <w:szCs w:val="30"/>
        </w:rPr>
        <w:t xml:space="preserve">References</w:t>
      </w:r>
    </w:p>
    <w:p>
      <w:pPr>
        <w:spacing w:before="80" w:after="80"/>
      </w:pPr>
      <w:r>
        <w:rPr>
          <w:rFonts w:ascii="Palatino Linotype" w:cs="Palatino Linotype" w:eastAsia="Palatino Linotype" w:hAnsi="Palatino Linotype"/>
          <w:sz w:val="22"/>
          <w:szCs w:val="22"/>
        </w:rPr>
        <w:t xml:space="preserve">[1] Rakovskyi, D. (2026). CCDR Version 6. IJSR SR24703042047. github.com/rakovpublic/jneopallium.</w:t>
      </w:r>
    </w:p>
    <w:p>
      <w:pPr>
        <w:spacing w:before="80" w:after="80"/>
      </w:pPr>
      <w:r>
        <w:rPr>
          <w:rFonts w:ascii="Palatino Linotype" w:cs="Palatino Linotype" w:eastAsia="Palatino Linotype" w:hAnsi="Palatino Linotype"/>
          <w:sz w:val="22"/>
          <w:szCs w:val="22"/>
        </w:rPr>
        <w:t xml:space="preserve">[2] Thebault, E. et al. (2015). International Geomagnetic Reference Field: the 12th generation. Earth Planets Space 67, 79.</w:t>
      </w:r>
    </w:p>
    <w:p>
      <w:pPr>
        <w:spacing w:before="80" w:after="80"/>
      </w:pPr>
      <w:r>
        <w:rPr>
          <w:rFonts w:ascii="Palatino Linotype" w:cs="Palatino Linotype" w:eastAsia="Palatino Linotype" w:hAnsi="Palatino Linotype"/>
          <w:sz w:val="22"/>
          <w:szCs w:val="22"/>
        </w:rPr>
        <w:t xml:space="preserve">[3] Livermore, P.W. et al. (2017). Accelerated westward drift of Earth’s surface magnetic field. Nat. Geosci. 10, 62.</w:t>
      </w:r>
    </w:p>
    <w:p>
      <w:pPr>
        <w:spacing w:before="80" w:after="80"/>
      </w:pPr>
      <w:r>
        <w:rPr>
          <w:rFonts w:ascii="Palatino Linotype" w:cs="Palatino Linotype" w:eastAsia="Palatino Linotype" w:hAnsi="Palatino Linotype"/>
          <w:sz w:val="22"/>
          <w:szCs w:val="22"/>
        </w:rPr>
        <w:t xml:space="preserve">[4] Finlay, C.C. et al. (2020). The CHAOS-7 geomagnetic field model. Earth Planets Space 72, 156.</w:t>
      </w:r>
    </w:p>
    <w:p>
      <w:pPr>
        <w:spacing w:before="80" w:after="80"/>
      </w:pPr>
      <w:r>
        <w:rPr>
          <w:rFonts w:ascii="Palatino Linotype" w:cs="Palatino Linotype" w:eastAsia="Palatino Linotype" w:hAnsi="Palatino Linotype"/>
          <w:sz w:val="22"/>
          <w:szCs w:val="22"/>
        </w:rPr>
        <w:t xml:space="preserve">[5] Terra-Nova, F. et al. (2022). The South Atlantic Anomaly as seen by the IGRF. Earth Planets Space 74, 12.</w:t>
      </w:r>
    </w:p>
    <w:p>
      <w:pPr>
        <w:spacing w:before="80" w:after="80"/>
      </w:pPr>
      <w:r>
        <w:rPr>
          <w:rFonts w:ascii="Palatino Linotype" w:cs="Palatino Linotype" w:eastAsia="Palatino Linotype" w:hAnsi="Palatino Linotype"/>
          <w:sz w:val="22"/>
          <w:szCs w:val="22"/>
        </w:rPr>
        <w:t xml:space="preserve">[6] Gillet, N. et al. (2022). Satellite magnetic data reveal interannual waves in Earth’s core. Proc. Natl. Acad. Sci. 119, e2115258119.</w:t>
      </w:r>
    </w:p>
    <w:p>
      <w:pPr>
        <w:spacing w:before="80" w:after="80"/>
      </w:pPr>
      <w:r>
        <w:rPr>
          <w:rFonts w:ascii="Palatino Linotype" w:cs="Palatino Linotype" w:eastAsia="Palatino Linotype" w:hAnsi="Palatino Linotype"/>
          <w:sz w:val="22"/>
          <w:szCs w:val="22"/>
        </w:rPr>
        <w:t xml:space="preserve">[7] Aubert, J. et al. (2013). Detecting thermal boundary control in surface flows from numerical dynamos. Phys. Earth Planet. Inter. 228, 51.</w:t>
      </w:r>
    </w:p>
    <w:p>
      <w:pPr>
        <w:spacing w:before="80" w:after="80"/>
      </w:pPr>
      <w:r>
        <w:rPr>
          <w:rFonts w:ascii="Palatino Linotype" w:cs="Palatino Linotype" w:eastAsia="Palatino Linotype" w:hAnsi="Palatino Linotype"/>
          <w:sz w:val="22"/>
          <w:szCs w:val="22"/>
        </w:rPr>
        <w:t xml:space="preserve">[8] Loper, D.E. (2007). Turbulence and small-scale dynamics in the core. Core Dynamics, 187.</w:t>
      </w:r>
    </w:p>
    <w:p>
      <w:pPr>
        <w:spacing w:before="80" w:after="80"/>
      </w:pPr>
      <w:r>
        <w:rPr>
          <w:rFonts w:ascii="Palatino Linotype" w:cs="Palatino Linotype" w:eastAsia="Palatino Linotype" w:hAnsi="Palatino Linotype"/>
          <w:sz w:val="22"/>
          <w:szCs w:val="22"/>
        </w:rPr>
        <w:t xml:space="preserve">[9] Merrill, R.T. &amp; McFadden, P.L. (1999). Geomagnetic polarity transitions. Rev. Geophys. 37, 201.</w:t>
      </w:r>
    </w:p>
    <w:p>
      <w:pPr>
        <w:spacing w:before="80" w:after="80"/>
      </w:pPr>
      <w:r>
        <w:rPr>
          <w:rFonts w:ascii="Palatino Linotype" w:cs="Palatino Linotype" w:eastAsia="Palatino Linotype" w:hAnsi="Palatino Linotype"/>
          <w:sz w:val="22"/>
          <w:szCs w:val="22"/>
        </w:rPr>
        <w:t xml:space="preserve">[10] Kovtun, P., Son, D.T. &amp; Starinets, A.O. (2005). Viscosity in strongly interacting quantum field theories. Phys. Rev. Lett. 94, 111601.</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888888"/>
        <w:sz w:val="18"/>
        <w:szCs w:val="18"/>
      </w:rPr>
      <w:t xml:space="preserve">CCDR: North Magnetic Pole Migration · Rakovskyi 2026 · Page </w:t>
    </w:r>
    <w:r>
      <w:rPr>
        <w:rFonts w:ascii="Palatino Linotype" w:cs="Palatino Linotype" w:eastAsia="Palatino Linotype" w:hAnsi="Palatino Linotype"/>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Georgia" w:cs="Georgia" w:eastAsia="Georgia" w:hAnsi="Georgia"/>
      <w:b/>
      <w:bCs/>
      <w:color w:val="1A3A2A"/>
      <w:sz w:val="30"/>
      <w:szCs w:val="30"/>
    </w:rPr>
  </w:style>
  <w:style w:type="paragraph" w:styleId="Heading2">
    <w:name w:val="Heading 2"/>
    <w:basedOn w:val="Normal"/>
    <w:next w:val="Normal"/>
    <w:qFormat/>
    <w:pPr>
      <w:spacing w:before="240" w:after="80"/>
      <w:outlineLvl w:val="1"/>
    </w:pPr>
    <w:rPr>
      <w:rFonts w:ascii="Georgia" w:cs="Georgia" w:eastAsia="Georgia" w:hAnsi="Georgia"/>
      <w:b/>
      <w:bCs/>
      <w:color w:val="2A5C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2026-03-19T16:55:29.141Z</dcterms:created>
  <dcterms:modified xsi:type="dcterms:W3CDTF">2026-03-19T16:55:29.142Z</dcterms:modified>
</cp:coreProperties>
</file>

<file path=docProps/custom.xml><?xml version="1.0" encoding="utf-8"?>
<Properties xmlns="http://schemas.openxmlformats.org/officeDocument/2006/custom-properties" xmlns:vt="http://schemas.openxmlformats.org/officeDocument/2006/docPropsVTypes"/>
</file>