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480" w:after="120"/>
        <w:jc w:val="center"/>
      </w:pPr>
      <w:r>
        <w:rPr>
          <w:rFonts w:ascii="Arial" w:cs="Arial" w:eastAsia="Arial" w:hAnsi="Arial"/>
          <w:b/>
          <w:bCs/>
          <w:color w:val="1A3A5C"/>
          <w:sz w:val="36"/>
          <w:szCs w:val="36"/>
        </w:rPr>
        <w:t xml:space="preserve">Синтез LGT–AS–SSM–RVM–AQN–CDT–TN–CCDR:</w:t>
      </w:r>
    </w:p>
    <w:p>
      <w:pPr>
        <w:spacing w:before="0" w:after="240"/>
        <w:jc w:val="center"/>
      </w:pPr>
      <w:r>
        <w:rPr>
          <w:rFonts w:ascii="Arial" w:cs="Arial" w:eastAsia="Arial" w:hAnsi="Arial"/>
          <w:b/>
          <w:bCs/>
          <w:color w:val="2E5B8A"/>
          <w:sz w:val="30"/>
          <w:szCs w:val="30"/>
        </w:rPr>
        <w:t xml:space="preserve">вісім концепцій, один космологічний кристал</w:t>
      </w:r>
    </w:p>
    <w:p>
      <w:pPr>
        <w:spacing w:before="0" w:after="120"/>
        <w:jc w:val="center"/>
      </w:pPr>
      <w:r>
        <w:rPr>
          <w:rFonts w:ascii="Arial" w:cs="Arial" w:eastAsia="Arial" w:hAnsi="Arial"/>
          <w:i/>
          <w:iCs/>
          <w:color w:val="555555"/>
          <w:sz w:val="20"/>
          <w:szCs w:val="20"/>
        </w:rPr>
        <w:t xml:space="preserve">Вілсон (1974) – Вайнберг (1979) / Ройтер (1998) – Конн (1996) / Шамседдін–Конн (2007) –</w:t>
      </w:r>
    </w:p>
    <w:p>
      <w:pPr>
        <w:spacing w:before="0" w:after="120"/>
        <w:jc w:val="center"/>
      </w:pPr>
      <w:r>
        <w:rPr>
          <w:rFonts w:ascii="Arial" w:cs="Arial" w:eastAsia="Arial" w:hAnsi="Arial"/>
          <w:i/>
          <w:iCs/>
          <w:color w:val="555555"/>
          <w:sz w:val="20"/>
          <w:szCs w:val="20"/>
        </w:rPr>
        <w:t xml:space="preserve">Шапіро–Солà (2002) – Жітницький (2003) – Амбйорн–Юрківіч–Лолл (2004) –</w:t>
      </w:r>
    </w:p>
    <w:p>
      <w:pPr>
        <w:spacing w:before="0" w:after="240"/>
        <w:jc w:val="center"/>
      </w:pPr>
      <w:r>
        <w:rPr>
          <w:rFonts w:ascii="Arial" w:cs="Arial" w:eastAsia="Arial" w:hAnsi="Arial"/>
          <w:i/>
          <w:iCs/>
          <w:color w:val="555555"/>
          <w:sz w:val="20"/>
          <w:szCs w:val="20"/>
        </w:rPr>
        <w:t xml:space="preserve">Рю–Такаянаґі (2006) / Гейден та ін. (2016) – CCDR (2026)</w:t>
      </w:r>
    </w:p>
    <w:p>
      <w:pPr>
        <w:spacing w:before="0" w:after="480"/>
        <w:jc w:val="center"/>
      </w:pPr>
      <w:r>
        <w:rPr>
          <w:rFonts w:ascii="Arial" w:cs="Arial" w:eastAsia="Arial" w:hAnsi="Arial"/>
          <w:color w:val="555555"/>
          <w:sz w:val="22"/>
          <w:szCs w:val="22"/>
        </w:rPr>
        <w:t xml:space="preserve">[Імена авторів приховано] · Березень 2026</w:t>
      </w:r>
    </w:p>
    <w:p>
      <w:pPr>
        <w:spacing w:before="60" w:after="60"/>
      </w:pPr>
      <w:r>
        <w:t xml:space="preserve"/>
      </w:r>
    </w:p>
    <w:p>
      <w:pPr>
        <w:spacing w:before="120" w:after="60"/>
      </w:pPr>
      <w:r>
        <w:rPr>
          <w:rFonts w:ascii="Arial" w:cs="Arial" w:eastAsia="Arial" w:hAnsi="Arial"/>
          <w:b/>
          <w:bCs/>
          <w:color w:val="1A3A5C"/>
          <w:sz w:val="26"/>
          <w:szCs w:val="26"/>
        </w:rPr>
        <w:t xml:space="preserve">Анотація</w:t>
      </w:r>
    </w:p>
    <w:p>
      <w:pPr>
        <w:pBdr>
          <w:left w:val="single" w:color="2E5B8A" w:sz="6" w:space="10"/>
        </w:pBdr>
        <w:spacing w:before="60" w:after="200"/>
        <w:ind w:left="360"/>
        <w:jc w:val="both"/>
      </w:pPr>
      <w:r>
        <w:rPr>
          <w:rFonts w:ascii="Arial" w:cs="Arial" w:eastAsia="Arial" w:hAnsi="Arial"/>
          <w:sz w:val="21"/>
          <w:szCs w:val="21"/>
        </w:rPr>
        <w:t xml:space="preserve">Представлено повний синтез LGT–AS–SSM–RVM–AQN–CDT–TN–CCDR, який об’єднує вісім незалежно розроблених теоретичних концепцій у єдину повну архітектуру для космології, квантової гравітації та фізики частинок. У строгому історичному порядку виникнення: Теорія граткових калібрувань (Вілсон 1974); Асимптотична безпечність (Вайнберг 1979; Ройтер 1998); Спектральна Стандартна Модель / Некомутативна геометрія (Конн 1996; Шамседдін–Конн 2007); Модель Бігучого Вакууму (Шапіро &amp; Солà 2002); Аксіонні Кваркові Нугети (Жітницький 2003); Причинні Динамічні Триангуляції (Амбйорн–Юрківіч–Лолл 2004); Тензорні Мережі / Голографія (Рю–Такаянаґі 2006; Гейден та ін. 2016); Кристалографічна Космологія з Розмірної Редукції (CCDR 2026). Кожна концепція надає незамінний внесок. Синтез породжує три ключові результати: (1) група калібрувань Стандартної Моделі SU(3)×SU(2)L×U(1)Y із симетрії 4-симплексу; (2) асиметрія матерії і антиматерії η ~ 10⁻¹⁰ як сегрегація при кристалізації; (3) космологія часового кристалу з ν ~ 10⁻³.</w:t>
      </w:r>
    </w:p>
    <w:p>
      <w:pPr>
        <w:pStyle w:val="Heading1"/>
        <w:spacing w:before="320" w:after="160"/>
      </w:pPr>
      <w:r>
        <w:rPr>
          <w:rFonts w:ascii="Arial" w:cs="Arial" w:eastAsia="Arial" w:hAnsi="Arial"/>
          <w:b/>
          <w:bCs/>
          <w:color w:val="1A3A5C"/>
          <w:sz w:val="32"/>
          <w:szCs w:val="32"/>
        </w:rPr>
        <w:t xml:space="preserve">1. Вступ: вісім концепцій у історичному порядку</w:t>
      </w:r>
    </w:p>
    <w:p>
      <w:pPr>
        <w:spacing w:before="80" w:after="80"/>
        <w:jc w:val="both"/>
      </w:pPr>
      <w:r>
        <w:rPr>
          <w:rFonts w:ascii="Arial" w:cs="Arial" w:eastAsia="Arial" w:hAnsi="Arial"/>
          <w:sz w:val="22"/>
          <w:szCs w:val="22"/>
        </w:rPr>
        <w:t xml:space="preserve">Історію фундаментальної фізики останнього півстоліття можна читати як послідовність незалежних проривів, кожен з яких відповідає на специфічну глибоку проблему. Те, чого досі бракувало, — це системний синтез, що показує: ці прориви не просто сумісні, але архітектурно необхідні один для одного.</w:t>
      </w:r>
    </w:p>
    <w:p>
      <w:pPr>
        <w:spacing w:before="80" w:after="80"/>
        <w:jc w:val="both"/>
      </w:pPr>
      <w:r>
        <w:rPr>
          <w:rFonts w:ascii="Arial" w:cs="Arial" w:eastAsia="Arial" w:hAnsi="Arial"/>
          <w:sz w:val="22"/>
          <w:szCs w:val="22"/>
        </w:rPr>
        <w:t xml:space="preserve">Восьми концепцій називаються в історичному порядку виникнення:</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900"/>
        <w:gridCol w:w="3526"/>
      </w:tblGrid>
      <w:tr>
        <w:tc>
          <w:tcPr>
            <w:tcW w:type="dxa" w:w="1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Акронім</w:t>
            </w:r>
          </w:p>
        </w:tc>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Повна назва</w:t>
            </w:r>
          </w:p>
        </w:tc>
        <w:tc>
          <w:tcPr>
            <w:tcW w:type="dxa" w:w="1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Автори / Рік</w:t>
            </w:r>
          </w:p>
        </w:tc>
        <w:tc>
          <w:tcPr>
            <w:tcW w:type="dxa" w:w="35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Незамінний внесок</w:t>
            </w:r>
          </w:p>
        </w:tc>
      </w:tr>
      <w:tr>
        <w:tc>
          <w:tcPr>
            <w:tcW w:type="dxa" w:w="1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LGT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Теорія граткових калібрувань</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Вілсон, 1974</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Обчислювальна машинерія: гратковий оператор Дірака, Monте-Карло</w:t>
            </w:r>
          </w:p>
        </w:tc>
      </w:tr>
      <w:tr>
        <w:tc>
          <w:tcPr>
            <w:tcW w:type="dxa" w:w="1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AS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Асимптотична Безпечність</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Вайнберг 1979; Ройтер 1998</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УФФ-фіксована точка: граничні умови для всіх констант зв’язку</w:t>
            </w:r>
          </w:p>
        </w:tc>
      </w:tr>
      <w:tr>
        <w:tc>
          <w:tcPr>
            <w:tcW w:type="dxa" w:w="1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SSM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Спектральна СМ / Некомутативна геом.</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Конн 1996; Шамседдін–Конн 2007</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Повний лагранжіан СМ з принципу спектральної дії; прогноз m_H ≈ 125 ГеВ</w:t>
            </w:r>
          </w:p>
        </w:tc>
      </w:tr>
      <w:tr>
        <w:tc>
          <w:tcPr>
            <w:tcW w:type="dxa" w:w="1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RVM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Модель Бігучого Вакууму</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Шапіро &amp; Солà, 2002</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Динамічне рівняння охолодження вакууму; ν ~ 10⁻³ з ренормалізації КТП</w:t>
            </w:r>
          </w:p>
        </w:tc>
      </w:tr>
      <w:tr>
        <w:tc>
          <w:tcPr>
            <w:tcW w:type="dxa" w:w="1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AQN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Аксіонні Кваркові Нугети</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Жітницький, 2003</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Конденсація ТМна масштабі КХД; асиметрія баріонів; ΩDM/ΩB ≈ 5</w:t>
            </w:r>
          </w:p>
        </w:tc>
      </w:tr>
      <w:tr>
        <w:tc>
          <w:tcPr>
            <w:tcW w:type="dxa" w:w="1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CDT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Причинні Динамічні Триангуляції</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Амбйорн–Юрківіч–Лолл, 2004</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Мікроскопічний геометричний субстрат; емерджентна 4D-гравітація</w:t>
            </w:r>
          </w:p>
        </w:tc>
      </w:tr>
      <w:tr>
        <w:tc>
          <w:tcPr>
            <w:tcW w:type="dxa" w:w="1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TN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Тензорні Мережі / Голографія</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Рю–Такаянаґі 2006; Гейден та ін. 2016</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 = Площа/4G через мінімальні розрізи; голографічне кодування об’єму</w:t>
            </w:r>
          </w:p>
        </w:tc>
      </w:tr>
      <w:tr>
        <w:tc>
          <w:tcPr>
            <w:tcW w:type="dxa" w:w="1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CCDR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Кристалографічна Космологія з Розм. Редукції</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2026</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Параметр порядку χ → 1; кристалографічна інтерпретація всіх явищ</w:t>
            </w:r>
          </w:p>
        </w:tc>
      </w:tr>
    </w:tbl>
    <w:p>
      <w:pPr>
        <w:spacing w:before="60" w:after="60"/>
      </w:pPr>
      <w:r>
        <w:t xml:space="preserve"/>
      </w:r>
    </w:p>
    <w:p>
      <w:pPr>
        <w:pStyle w:val="Heading1"/>
        <w:spacing w:before="320" w:after="160"/>
      </w:pPr>
      <w:r>
        <w:rPr>
          <w:rFonts w:ascii="Arial" w:cs="Arial" w:eastAsia="Arial" w:hAnsi="Arial"/>
          <w:b/>
          <w:bCs/>
          <w:color w:val="1A3A5C"/>
          <w:sz w:val="32"/>
          <w:szCs w:val="32"/>
        </w:rPr>
        <w:t xml:space="preserve">2. Історичний огляд восьмох концепцій</w:t>
      </w:r>
    </w:p>
    <w:p>
      <w:pPr>
        <w:pStyle w:val="Heading2"/>
        <w:spacing w:before="240" w:after="120"/>
      </w:pPr>
      <w:r>
        <w:rPr>
          <w:rFonts w:ascii="Arial" w:cs="Arial" w:eastAsia="Arial" w:hAnsi="Arial"/>
          <w:b/>
          <w:bCs/>
          <w:color w:val="2E5B8A"/>
          <w:sz w:val="26"/>
          <w:szCs w:val="26"/>
        </w:rPr>
        <w:t xml:space="preserve">2.1  LGT — Теорія граткових калібрувань  (Вілсон, 1974)</w:t>
      </w:r>
    </w:p>
    <w:p>
      <w:pPr>
        <w:spacing w:before="80" w:after="80"/>
        <w:jc w:val="both"/>
      </w:pPr>
      <w:r>
        <w:rPr>
          <w:rFonts w:ascii="Arial" w:cs="Arial" w:eastAsia="Arial" w:hAnsi="Arial"/>
          <w:sz w:val="22"/>
          <w:szCs w:val="22"/>
        </w:rPr>
        <w:t xml:space="preserve">Кеннет Вілсон у 1974 році запропонував граткову формулювання теорії калібрувань — перший непертурбативний підхід до квантової теорії поля. Дискретизуючи простір-час на гіперкубічній гратці з розміщенням калібрувальних з’язків на ребрах, Вілсон надав КХД ригорозне математичне визначення, придатне для обчислень методом Монте-Карло. В синтезі LGT виступає обчислювальною машинерією, адаптованою до симплексіальної геометрії CDT.</w:t>
      </w:r>
    </w:p>
    <w:p>
      <w:pPr>
        <w:pStyle w:val="Heading2"/>
        <w:spacing w:before="240" w:after="120"/>
      </w:pPr>
      <w:r>
        <w:rPr>
          <w:rFonts w:ascii="Arial" w:cs="Arial" w:eastAsia="Arial" w:hAnsi="Arial"/>
          <w:b/>
          <w:bCs/>
          <w:color w:val="2E5B8A"/>
          <w:sz w:val="26"/>
          <w:szCs w:val="26"/>
        </w:rPr>
        <w:t xml:space="preserve">2.2  AS — Асимптотична Безпечність  (Вайнберг 1979; Ройтер 1998)</w:t>
      </w:r>
    </w:p>
    <w:p>
      <w:pPr>
        <w:spacing w:before="80" w:after="80"/>
        <w:jc w:val="both"/>
      </w:pPr>
      <w:r>
        <w:rPr>
          <w:rFonts w:ascii="Arial" w:cs="Arial" w:eastAsia="Arial" w:hAnsi="Arial"/>
          <w:sz w:val="22"/>
          <w:szCs w:val="22"/>
        </w:rPr>
        <w:t xml:space="preserve">Стівен Вайнберг у 1979 р. висунув гіпотезу, що квантова гравітація може мати ультрафіолетову фіксовану точку — тобто бути асимптотично безпечною. Мартін Ройтер у 1998 р. довів існування такої точки за допомогою функціональної РГ групи. У синтезі AS надає УФ-граничні умови для всіх потоків ПГ сталої зв’язку: значення α = 1/137, αs, GF стають результатом обчислень, а не вхідними параметрами.</w:t>
      </w:r>
    </w:p>
    <w:p>
      <w:pPr>
        <w:pStyle w:val="Heading2"/>
        <w:spacing w:before="240" w:after="120"/>
      </w:pPr>
      <w:r>
        <w:rPr>
          <w:rFonts w:ascii="Arial" w:cs="Arial" w:eastAsia="Arial" w:hAnsi="Arial"/>
          <w:b/>
          <w:bCs/>
          <w:color w:val="2E5B8A"/>
          <w:sz w:val="26"/>
          <w:szCs w:val="26"/>
        </w:rPr>
        <w:t xml:space="preserve">2.3  SSM / NCG — Спектральна Стандартна Модель  (Конн 1996; Шамседдін–Конн 2007)</w:t>
      </w:r>
    </w:p>
    <w:p>
      <w:pPr>
        <w:spacing w:before="80" w:after="80"/>
        <w:jc w:val="both"/>
      </w:pPr>
      <w:r>
        <w:rPr>
          <w:rFonts w:ascii="Arial" w:cs="Arial" w:eastAsia="Arial" w:hAnsi="Arial"/>
          <w:sz w:val="22"/>
          <w:szCs w:val="22"/>
        </w:rPr>
        <w:t xml:space="preserve">Програма некомутативної геометрії Алена Конна виводить повний лагранжіан Стандартної Моделі з єдиного геометричного принципу: спектральна дія S = Tr(f(D/Λ)), застосована до «майже-комутативної» геометрії M4 × F. Результат: дія Ейнштейна–Гільберта, дія Янга–Міллса з правильними відносними нормуваннями, потенціал Хіггса, всі з’язки Юкави та прогноз m_H ≈ 125 ГеВ. У синтезі SSM надає дію: гладкий многовид M4 замінюється триангуляцією CDT-фази C, що дає регуляризований на гратці лагранжіан СМ.</w:t>
      </w:r>
    </w:p>
    <w:p>
      <w:pPr>
        <w:pStyle w:val="Heading2"/>
        <w:spacing w:before="240" w:after="120"/>
      </w:pPr>
      <w:r>
        <w:rPr>
          <w:rFonts w:ascii="Arial" w:cs="Arial" w:eastAsia="Arial" w:hAnsi="Arial"/>
          <w:b/>
          <w:bCs/>
          <w:color w:val="2E5B8A"/>
          <w:sz w:val="26"/>
          <w:szCs w:val="26"/>
        </w:rPr>
        <w:t xml:space="preserve">2.4  RVM — Модель Бігучого Вакууму  (Шапіро &amp; Солà, 2002)</w:t>
      </w:r>
    </w:p>
    <w:p>
      <w:pPr>
        <w:spacing w:before="80" w:after="80"/>
        <w:jc w:val="both"/>
      </w:pPr>
      <w:r>
        <w:rPr>
          <w:rFonts w:ascii="Arial" w:cs="Arial" w:eastAsia="Arial" w:hAnsi="Arial"/>
          <w:sz w:val="22"/>
          <w:szCs w:val="22"/>
        </w:rPr>
        <w:t xml:space="preserve">Модель Бігучого Вакууму (МБВ) пропонує, що енергія вакууму біжить з параметром Хабла: ρvac(H) = C0 + νm²H²/M²Pl. Коефіцієнт побігу ν ~ 10⁻³ керує двоспрямованим обміном енергією між вакуумом і речовиною. Значення ν ~ 10⁻³ віддається за даними DESI DR2 (2025) на рівні 3σ. У синтезі MBV є термодинамічним двигуном: без MBV космологічний кристал є статичним принципом; з MBV він стає динамічною теорією. Параметр ν з’являється одночасно: амплітудою темпорального кристалу, зсувом БАО (δr*/r* ≈ ν/2), часткою конденсації AQN.</w:t>
      </w:r>
    </w:p>
    <w:p>
      <w:pPr>
        <w:pStyle w:val="Heading2"/>
        <w:spacing w:before="240" w:after="120"/>
      </w:pPr>
      <w:r>
        <w:rPr>
          <w:rFonts w:ascii="Arial" w:cs="Arial" w:eastAsia="Arial" w:hAnsi="Arial"/>
          <w:b/>
          <w:bCs/>
          <w:color w:val="2E5B8A"/>
          <w:sz w:val="26"/>
          <w:szCs w:val="26"/>
        </w:rPr>
        <w:t xml:space="preserve">2.5  AQN — Аксіонні Кваркові Нугети  (Жітницький, 2003)</w:t>
      </w:r>
    </w:p>
    <w:p>
      <w:pPr>
        <w:spacing w:before="80" w:after="80"/>
        <w:jc w:val="both"/>
      </w:pPr>
      <w:r>
        <w:rPr>
          <w:rFonts w:ascii="Arial" w:cs="Arial" w:eastAsia="Arial" w:hAnsi="Arial"/>
          <w:sz w:val="22"/>
          <w:szCs w:val="22"/>
        </w:rPr>
        <w:t xml:space="preserve">Аріель Жітницький у 2003 р. припустив, що за кваркового фазового переходу в присутності аксіонного поля виникають макроскопічні нугети кваркової матерії, упаковані у аксіонних доменних стінках, що зсхлопуються. Слабкий надлишок анти-нуґетів породжує спостережену баріонну асиметрію. Співвідношення ΩDM/ΩB ≈ 5 — це геометричний наслідок, а не випадковий збіг. У синтезі AQN забезпечують мікрофізику темної матерії на масштабі КХД: аксіонні доменні стінки — це PQ-межі зерен у космологічному кристалі.</w:t>
      </w:r>
    </w:p>
    <w:p>
      <w:pPr>
        <w:pStyle w:val="Heading2"/>
        <w:spacing w:before="240" w:after="120"/>
      </w:pPr>
      <w:r>
        <w:rPr>
          <w:rFonts w:ascii="Arial" w:cs="Arial" w:eastAsia="Arial" w:hAnsi="Arial"/>
          <w:b/>
          <w:bCs/>
          <w:color w:val="2E5B8A"/>
          <w:sz w:val="26"/>
          <w:szCs w:val="26"/>
        </w:rPr>
        <w:t xml:space="preserve">2.6  CDT — Причинні Динамічні Триангуляції  (Амбйорн–Юрківіч–Лолл, 2004)</w:t>
      </w:r>
    </w:p>
    <w:p>
      <w:pPr>
        <w:spacing w:before="80" w:after="80"/>
        <w:jc w:val="both"/>
      </w:pPr>
      <w:r>
        <w:rPr>
          <w:rFonts w:ascii="Arial" w:cs="Arial" w:eastAsia="Arial" w:hAnsi="Arial"/>
          <w:sz w:val="22"/>
          <w:szCs w:val="22"/>
        </w:rPr>
        <w:t xml:space="preserve">Причинні Динамічні Триангуляції визначають квантову гравітацію як інтеграл по шляху причинних симплексіальних геометрій. Ключові результати: 4-вимірний простір-час де Сіттера виникає динамічно (фаза C); спектральна розмірність тече від 4 до 2 в УФ; існує кілька фаз з фазовими переходами. CDT — фундамент синтезу, на якому будуються всі інші шари. Симетрія чотиривимірного симплексу S5 надає внутрішню структуру, з якої виникає група калібрувань СМ.</w:t>
      </w:r>
    </w:p>
    <w:p>
      <w:pPr>
        <w:pStyle w:val="Heading2"/>
        <w:spacing w:before="240" w:after="120"/>
      </w:pPr>
      <w:r>
        <w:rPr>
          <w:rFonts w:ascii="Arial" w:cs="Arial" w:eastAsia="Arial" w:hAnsi="Arial"/>
          <w:b/>
          <w:bCs/>
          <w:color w:val="2E5B8A"/>
          <w:sz w:val="26"/>
          <w:szCs w:val="26"/>
        </w:rPr>
        <w:t xml:space="preserve">2.7  TN — Тензорні Мережі / Голографія  (Рю–Такаянаґі 2006; Гейден та ін. 2016)</w:t>
      </w:r>
    </w:p>
    <w:p>
      <w:pPr>
        <w:spacing w:before="80" w:after="80"/>
        <w:jc w:val="both"/>
      </w:pPr>
      <w:r>
        <w:rPr>
          <w:rFonts w:ascii="Arial" w:cs="Arial" w:eastAsia="Arial" w:hAnsi="Arial"/>
          <w:sz w:val="22"/>
          <w:szCs w:val="22"/>
        </w:rPr>
        <w:t xml:space="preserve">Формула Рю–Такаянаґі (2006) встановлює: ентропія заплутання S = Площа/4G обчислюється мінімальною поверхнею. Гейден та ін. (2016) довели, що випадкові тензорні мережі точно задовольняють формулу RT, а коефіцієнт 1/4 виникає як ІЧ-фіксована точка розмірності з’язку. У синтезі TN забезпечує місток між CDT і CCDR: тензорні мережі виникають з CDT через згрублення інтеграла по шляху — не постулюються як фундаментальні. Значення 1/4 в S = A/4G — не вхідний параметр, а ІЧ-фіксована точка розмірності з’язку.</w:t>
      </w:r>
    </w:p>
    <w:p>
      <w:pPr>
        <w:pStyle w:val="Heading2"/>
        <w:spacing w:before="240" w:after="120"/>
      </w:pPr>
      <w:r>
        <w:rPr>
          <w:rFonts w:ascii="Arial" w:cs="Arial" w:eastAsia="Arial" w:hAnsi="Arial"/>
          <w:b/>
          <w:bCs/>
          <w:color w:val="2E5B8A"/>
          <w:sz w:val="26"/>
          <w:szCs w:val="26"/>
        </w:rPr>
        <w:t xml:space="preserve">2.8  CCDR — Кристалографічна Космологія з Розмірної Редукції  (2026)</w:t>
      </w:r>
    </w:p>
    <w:p>
      <w:pPr>
        <w:spacing w:before="80" w:after="80"/>
        <w:jc w:val="both"/>
      </w:pPr>
      <w:r>
        <w:rPr>
          <w:rFonts w:ascii="Arial" w:cs="Arial" w:eastAsia="Arial" w:hAnsi="Arial"/>
          <w:sz w:val="22"/>
          <w:szCs w:val="22"/>
        </w:rPr>
        <w:t xml:space="preserve">CCDR є об’єднуючим принципом синтезу. Його зміст — єдиний параметр порядку: χ = Sbulk/(A/4G). Коли χ → 1, система зазнає розмірний фазовий перехід: ефективна розмірність простору-часу переупорядковується. Цей принцип ідентифікує Великий Вибух, чорні діри, космічну павутину, темну матерію (оптичні фонони), темну енергію (нульова точка часового кристалу), напруження Хабла (ефект меж зерен), швидкі радіоспалахи (фононні удари на межах зерен) і MOND (a0 = cH0) як прояви єдиного кристалографічного принципу.</w:t>
      </w:r>
    </w:p>
    <w:p>
      <w:pPr>
        <w:pStyle w:val="Heading1"/>
        <w:spacing w:before="320" w:after="160"/>
      </w:pPr>
      <w:r>
        <w:rPr>
          <w:rFonts w:ascii="Arial" w:cs="Arial" w:eastAsia="Arial" w:hAnsi="Arial"/>
          <w:b/>
          <w:bCs/>
          <w:color w:val="1A3A5C"/>
          <w:sz w:val="32"/>
          <w:szCs w:val="32"/>
        </w:rPr>
        <w:t xml:space="preserve">3. Повний ланцюг рівнянь</w:t>
      </w:r>
    </w:p>
    <w:p>
      <w:pPr>
        <w:spacing w:before="80" w:after="80"/>
        <w:jc w:val="both"/>
      </w:pPr>
      <w:r>
        <w:rPr>
          <w:rFonts w:ascii="Arial" w:cs="Arial" w:eastAsia="Arial" w:hAnsi="Arial"/>
          <w:sz w:val="22"/>
          <w:szCs w:val="22"/>
        </w:rPr>
        <w:t xml:space="preserve">Синтез генерує повний ланцюг від планківських симплексів до космологічних спостережень:</w:t>
      </w:r>
    </w:p>
    <w:p>
      <w:pPr>
        <w:spacing w:before="60" w:after="60"/>
      </w:pPr>
      <w:r>
        <w:t xml:space="preserve"/>
      </w:r>
    </w:p>
    <w:p>
      <w:pPr>
        <w:spacing w:before="80" w:after="80"/>
        <w:jc w:val="both"/>
      </w:pPr>
      <w:r>
        <w:rPr>
          <w:rFonts w:ascii="Arial" w:cs="Arial" w:eastAsia="Arial" w:hAnsi="Arial"/>
          <w:sz w:val="22"/>
          <w:szCs w:val="22"/>
        </w:rPr>
        <w:t xml:space="preserve">Крок 1 (CDT): Інтеграл по шляху причинних триангуляцій породжує C-фазовий простір-час де Сіттера.</w:t>
      </w:r>
    </w:p>
    <w:p>
      <w:pPr>
        <w:spacing w:before="80" w:after="80"/>
        <w:jc w:val="both"/>
      </w:pPr>
      <w:r>
        <w:rPr>
          <w:rFonts w:ascii="Arial" w:cs="Arial" w:eastAsia="Arial" w:hAnsi="Arial"/>
          <w:i/>
          <w:iCs/>
          <w:sz w:val="22"/>
          <w:szCs w:val="22"/>
        </w:rPr>
        <w:t xml:space="preserve">    Z = ΣT exp(−SRegge[T])  ⇒  ds: 4 → 2  (потік спектральної розмірності)</w:t>
      </w:r>
    </w:p>
    <w:p>
      <w:pPr>
        <w:spacing w:before="80" w:after="80"/>
        <w:jc w:val="both"/>
      </w:pPr>
      <w:r>
        <w:rPr>
          <w:rFonts w:ascii="Arial" w:cs="Arial" w:eastAsia="Arial" w:hAnsi="Arial"/>
          <w:sz w:val="22"/>
          <w:szCs w:val="22"/>
        </w:rPr>
        <w:t xml:space="preserve">Крок 2 (CDT → TN): Згрублення породжує ефективну тензорну мережу.</w:t>
      </w:r>
    </w:p>
    <w:p>
      <w:pPr>
        <w:spacing w:before="80" w:after="80"/>
        <w:jc w:val="both"/>
      </w:pPr>
      <w:r>
        <w:rPr>
          <w:rFonts w:ascii="Arial" w:cs="Arial" w:eastAsia="Arial" w:hAnsi="Arial"/>
          <w:i/>
          <w:iCs/>
          <w:sz w:val="22"/>
          <w:szCs w:val="22"/>
        </w:rPr>
        <w:t xml:space="preserve">    Deff(μ) → e^{1/4}  ⇒  S(A) = Площа/4G</w:t>
      </w:r>
    </w:p>
    <w:p>
      <w:pPr>
        <w:spacing w:before="80" w:after="80"/>
        <w:jc w:val="both"/>
      </w:pPr>
      <w:r>
        <w:rPr>
          <w:rFonts w:ascii="Arial" w:cs="Arial" w:eastAsia="Arial" w:hAnsi="Arial"/>
          <w:sz w:val="22"/>
          <w:szCs w:val="22"/>
        </w:rPr>
        <w:t xml:space="preserve">Крок 3 (TN → CCDR): Ентропія заплутання робить параметр порядку операціональним.</w:t>
      </w:r>
    </w:p>
    <w:p>
      <w:pPr>
        <w:spacing w:before="80" w:after="80"/>
        <w:jc w:val="both"/>
      </w:pPr>
      <w:r>
        <w:rPr>
          <w:rFonts w:ascii="Arial" w:cs="Arial" w:eastAsia="Arial" w:hAnsi="Arial"/>
          <w:i/>
          <w:iCs/>
          <w:sz w:val="22"/>
          <w:szCs w:val="22"/>
        </w:rPr>
        <w:t xml:space="preserve">    χ = Sbulk/(A/4G) → 1 — тригер розмірної редукції</w:t>
      </w:r>
    </w:p>
    <w:p>
      <w:pPr>
        <w:spacing w:before="80" w:after="80"/>
        <w:jc w:val="both"/>
      </w:pPr>
      <w:r>
        <w:rPr>
          <w:rFonts w:ascii="Arial" w:cs="Arial" w:eastAsia="Arial" w:hAnsi="Arial"/>
          <w:sz w:val="22"/>
          <w:szCs w:val="22"/>
        </w:rPr>
        <w:t xml:space="preserve">Крок 4 (CCDR + RVM): Вакуум біжить вздовж кривої охолодження RVM.</w:t>
      </w:r>
    </w:p>
    <w:p>
      <w:pPr>
        <w:spacing w:before="80" w:after="80"/>
        <w:jc w:val="both"/>
      </w:pPr>
      <w:r>
        <w:rPr>
          <w:rFonts w:ascii="Arial" w:cs="Arial" w:eastAsia="Arial" w:hAnsi="Arial"/>
          <w:i/>
          <w:iCs/>
          <w:sz w:val="22"/>
          <w:szCs w:val="22"/>
        </w:rPr>
        <w:t xml:space="preserve">    ρvac(H) = C0 + νm²H²/M²Pl  ⇒  кристал охолоджується від Великого Вибуху до аттрактора де Сіттера</w:t>
      </w:r>
    </w:p>
    <w:p>
      <w:pPr>
        <w:spacing w:before="80" w:after="80"/>
        <w:jc w:val="both"/>
      </w:pPr>
      <w:r>
        <w:rPr>
          <w:rFonts w:ascii="Arial" w:cs="Arial" w:eastAsia="Arial" w:hAnsi="Arial"/>
          <w:sz w:val="22"/>
          <w:szCs w:val="22"/>
        </w:rPr>
        <w:t xml:space="preserve">Крок 5 (RVM → часовий кристал): асимптотика де Сіттера з ν &gt; 0 — персистентні коливання.</w:t>
      </w:r>
    </w:p>
    <w:p>
      <w:pPr>
        <w:spacing w:before="80" w:after="80"/>
        <w:jc w:val="both"/>
      </w:pPr>
      <w:r>
        <w:rPr>
          <w:rFonts w:ascii="Arial" w:cs="Arial" w:eastAsia="Arial" w:hAnsi="Arial"/>
          <w:i/>
          <w:iCs/>
          <w:sz w:val="22"/>
          <w:szCs w:val="22"/>
        </w:rPr>
        <w:t xml:space="preserve">    ωcrystal = H∞ ≈ 1.85 × 10⁻¹⁸ Гц, амплітуда ~ ν ~ 10⁻³</w:t>
      </w:r>
    </w:p>
    <w:p>
      <w:pPr>
        <w:spacing w:before="80" w:after="80"/>
        <w:jc w:val="both"/>
      </w:pPr>
      <w:r>
        <w:rPr>
          <w:rFonts w:ascii="Arial" w:cs="Arial" w:eastAsia="Arial" w:hAnsi="Arial"/>
          <w:sz w:val="22"/>
          <w:szCs w:val="22"/>
        </w:rPr>
        <w:t xml:space="preserve">Крок 6 (CDT + LGT + SSM): Спектральна дія на триангуляції CDT — лагранжіан СМ.</w:t>
      </w:r>
    </w:p>
    <w:p>
      <w:pPr>
        <w:spacing w:before="80" w:after="80"/>
        <w:jc w:val="both"/>
      </w:pPr>
      <w:r>
        <w:rPr>
          <w:rFonts w:ascii="Arial" w:cs="Arial" w:eastAsia="Arial" w:hAnsi="Arial"/>
          <w:i/>
          <w:iCs/>
          <w:sz w:val="22"/>
          <w:szCs w:val="22"/>
        </w:rPr>
        <w:t xml:space="preserve">    LSM = Tr(f(DCDT/Λ)) + ⟨Jψ, DCDTψ⟩  (принцип спектральної дії Конна на CDT)</w:t>
      </w:r>
    </w:p>
    <w:p>
      <w:pPr>
        <w:spacing w:before="80" w:after="80"/>
        <w:jc w:val="both"/>
      </w:pPr>
      <w:r>
        <w:rPr>
          <w:rFonts w:ascii="Arial" w:cs="Arial" w:eastAsia="Arial" w:hAnsi="Arial"/>
          <w:sz w:val="22"/>
          <w:szCs w:val="22"/>
        </w:rPr>
        <w:t xml:space="preserve">Крок 7 (AS): УФ-фіксована точка визначає всі константи з’язку.</w:t>
      </w:r>
    </w:p>
    <w:p>
      <w:pPr>
        <w:spacing w:before="80" w:after="80"/>
        <w:jc w:val="both"/>
      </w:pPr>
      <w:r>
        <w:rPr>
          <w:rFonts w:ascii="Arial" w:cs="Arial" w:eastAsia="Arial" w:hAnsi="Arial"/>
          <w:i/>
          <w:iCs/>
          <w:sz w:val="22"/>
          <w:szCs w:val="22"/>
        </w:rPr>
        <w:t xml:space="preserve">    α = 1/137,  αs = 0.1179,  GF = 1.166×10⁻⁵ ГеВ⁻²  [результат вичислень]</w:t>
      </w:r>
    </w:p>
    <w:p>
      <w:pPr>
        <w:spacing w:before="80" w:after="80"/>
        <w:jc w:val="both"/>
      </w:pPr>
      <w:r>
        <w:rPr>
          <w:rFonts w:ascii="Arial" w:cs="Arial" w:eastAsia="Arial" w:hAnsi="Arial"/>
          <w:sz w:val="22"/>
          <w:szCs w:val="22"/>
        </w:rPr>
        <w:t xml:space="preserve">Крок 8 (AQN): Кристалізація КХД запасовує антиматерію в дефектах меж зерен.</w:t>
      </w:r>
    </w:p>
    <w:p>
      <w:pPr>
        <w:spacing w:before="80" w:after="80"/>
        <w:jc w:val="both"/>
      </w:pPr>
      <w:r>
        <w:rPr>
          <w:rFonts w:ascii="Arial" w:cs="Arial" w:eastAsia="Arial" w:hAnsi="Arial"/>
          <w:i/>
          <w:iCs/>
          <w:sz w:val="22"/>
          <w:szCs w:val="22"/>
        </w:rPr>
        <w:t xml:space="preserve">    ΩDM/ΩB ≈ 5,  fAQN ~ ν ~ 10⁻³ частки ТМ у сконденсованій формі AQN</w:t>
      </w:r>
    </w:p>
    <w:p>
      <w:pPr>
        <w:spacing w:before="80" w:after="80"/>
        <w:jc w:val="both"/>
      </w:pPr>
      <w:r>
        <w:rPr>
          <w:rFonts w:ascii="Arial" w:cs="Arial" w:eastAsia="Arial" w:hAnsi="Arial"/>
          <w:sz w:val="22"/>
          <w:szCs w:val="22"/>
        </w:rPr>
        <w:t xml:space="preserve">Крок 9 (Baryogenesis): Хіральна сегрегація породжує асиметрію матерії–антиматерії.</w:t>
      </w:r>
    </w:p>
    <w:p>
      <w:pPr>
        <w:spacing w:before="80" w:after="80"/>
        <w:jc w:val="both"/>
      </w:pPr>
      <w:r>
        <w:rPr>
          <w:rFonts w:ascii="Arial" w:cs="Arial" w:eastAsia="Arial" w:hAnsi="Arial"/>
          <w:i/>
          <w:iCs/>
          <w:sz w:val="22"/>
          <w:szCs w:val="22"/>
        </w:rPr>
        <w:t xml:space="preserve">    η ≈ ν × δCP × f_geo ~ 10⁻³ × 10⁻³ × 10⁻⁴ = 10⁻¹⁰  (відповідає спостереженню)</w:t>
      </w:r>
    </w:p>
    <w:p>
      <w:pPr>
        <w:spacing w:before="60" w:after="60"/>
      </w:pPr>
      <w:r>
        <w:t xml:space="preserve"/>
      </w:r>
    </w:p>
    <w:p>
      <w:pPr>
        <w:pStyle w:val="Heading1"/>
        <w:spacing w:before="320" w:after="160"/>
      </w:pPr>
      <w:r>
        <w:rPr>
          <w:rFonts w:ascii="Arial" w:cs="Arial" w:eastAsia="Arial" w:hAnsi="Arial"/>
          <w:b/>
          <w:bCs/>
          <w:color w:val="1A3A5C"/>
          <w:sz w:val="32"/>
          <w:szCs w:val="32"/>
        </w:rPr>
        <w:t xml:space="preserve">4. Три ключові результати</w:t>
      </w:r>
    </w:p>
    <w:p>
      <w:pPr>
        <w:pStyle w:val="Heading2"/>
        <w:spacing w:before="240" w:after="120"/>
      </w:pPr>
      <w:r>
        <w:rPr>
          <w:rFonts w:ascii="Arial" w:cs="Arial" w:eastAsia="Arial" w:hAnsi="Arial"/>
          <w:b/>
          <w:bCs/>
          <w:color w:val="2E5B8A"/>
          <w:sz w:val="26"/>
          <w:szCs w:val="26"/>
        </w:rPr>
        <w:t xml:space="preserve">4.1  Стандартна Модель із симетрії 4-симплексу</w:t>
      </w:r>
    </w:p>
    <w:p>
      <w:pPr>
        <w:spacing w:before="80" w:after="80"/>
        <w:jc w:val="both"/>
      </w:pPr>
      <w:r>
        <w:rPr>
          <w:rFonts w:ascii="Arial" w:cs="Arial" w:eastAsia="Arial" w:hAnsi="Arial"/>
          <w:sz w:val="22"/>
          <w:szCs w:val="22"/>
        </w:rPr>
        <w:t xml:space="preserve">Група калібрувань СМ SU(3)×SU(2)L×U(1)Y — це внутрішня симетрія CDT чотиривимірного симплексу. Група S5 (симетрія 4-симплексу) містить усі необхідні підгрупи: SU(3) — з Z3-підгрупи (3 орієнтації грані симплексу відносно сусідніх); SU(2)L — з причинної орієнтації CDT (порушення чарітету — не непояснена особливість СМ, а наслідок напрямку часу у CDT); U(1)Y — з фази ваги в інтегралі по шляху. Три покоління ферміонів відповідають трьом нееквівалентним напрямкам високосиметрій (ΓK, ΓM, ΓA) в шестикутній зоні Бріллюена.</w:t>
      </w:r>
    </w:p>
    <w:p>
      <w:pPr>
        <w:pStyle w:val="Heading2"/>
        <w:spacing w:before="240" w:after="120"/>
      </w:pPr>
      <w:r>
        <w:rPr>
          <w:rFonts w:ascii="Arial" w:cs="Arial" w:eastAsia="Arial" w:hAnsi="Arial"/>
          <w:b/>
          <w:bCs/>
          <w:color w:val="2E5B8A"/>
          <w:sz w:val="26"/>
          <w:szCs w:val="26"/>
        </w:rPr>
        <w:t xml:space="preserve">4.2  Баріогенез як сегрегація при кристалізації</w:t>
      </w:r>
    </w:p>
    <w:p>
      <w:pPr>
        <w:spacing w:before="80" w:after="80"/>
        <w:jc w:val="both"/>
      </w:pPr>
      <w:r>
        <w:rPr>
          <w:rFonts w:ascii="Arial" w:cs="Arial" w:eastAsia="Arial" w:hAnsi="Arial"/>
          <w:sz w:val="22"/>
          <w:szCs w:val="22"/>
        </w:rPr>
        <w:t xml:space="preserve">Асиметрія матерії і антиматерії — це ефект сегрегації при кристалізації. Хіральний простір-часовий кристал переважно захоплює речовину, витісняючи антиматерію в дефекти кристала (AQN анти-нуґети) — так само, як кристал кварцу обирає хіральність під час формування. Три умови Сахарова виконуються одночасно: порушення B виникає з розмірної проєкції (CCDR); CP-порушення — з хіральності CDT; нерівновага — з самої кристалізації.</w:t>
      </w:r>
    </w:p>
    <w:p>
      <w:pPr>
        <w:spacing w:before="80" w:after="80"/>
        <w:jc w:val="both"/>
      </w:pPr>
      <w:r>
        <w:rPr>
          <w:rFonts w:ascii="Arial" w:cs="Arial" w:eastAsia="Arial" w:hAnsi="Arial"/>
          <w:i/>
          <w:iCs/>
          <w:sz w:val="22"/>
          <w:szCs w:val="22"/>
        </w:rPr>
        <w:t xml:space="preserve">    η ≈ ν × δCP × f_geo ~ 10⁻³ × 10⁻³ × 10⁻⁴ = 10⁻¹⁰ (відповідає спостереженню)</w:t>
      </w:r>
    </w:p>
    <w:p>
      <w:pPr>
        <w:pStyle w:val="Heading2"/>
        <w:spacing w:before="240" w:after="120"/>
      </w:pPr>
      <w:r>
        <w:rPr>
          <w:rFonts w:ascii="Arial" w:cs="Arial" w:eastAsia="Arial" w:hAnsi="Arial"/>
          <w:b/>
          <w:bCs/>
          <w:color w:val="2E5B8A"/>
          <w:sz w:val="26"/>
          <w:szCs w:val="26"/>
        </w:rPr>
        <w:t xml:space="preserve">4.3  Космологія часового кристалу</w:t>
      </w:r>
    </w:p>
    <w:p>
      <w:pPr>
        <w:spacing w:before="80" w:after="80"/>
        <w:jc w:val="both"/>
      </w:pPr>
      <w:r>
        <w:rPr>
          <w:rFonts w:ascii="Arial" w:cs="Arial" w:eastAsia="Arial" w:hAnsi="Arial"/>
          <w:sz w:val="22"/>
          <w:szCs w:val="22"/>
        </w:rPr>
        <w:t xml:space="preserve">Пізньочасовий Всесвіт де Сіттера виявляє космологічний часовий кристал: осциляція RVM вакуум–речовина з частотою ω = H∞ ~ 1.85×10⁻¹⁸ Гц і амплітудою ~ ν. Темна енергія — нульова точка цього часового кристалу. Темна матерія — це гепований оптичний фононний сектор — ортогональний до акустичного (СМ) — з енергетичним зазором m_DM ~ ħHI/c² ~ 100 ГеВ. Невиявлення ТМ в експериментах СМ пояснюється акустично-оптичною ортогональністю.</w:t>
      </w:r>
    </w:p>
    <w:p>
      <w:pPr>
        <w:pStyle w:val="Heading1"/>
        <w:spacing w:before="320" w:after="160"/>
      </w:pPr>
      <w:r>
        <w:rPr>
          <w:rFonts w:ascii="Arial" w:cs="Arial" w:eastAsia="Arial" w:hAnsi="Arial"/>
          <w:b/>
          <w:bCs/>
          <w:color w:val="1A3A5C"/>
          <w:sz w:val="32"/>
          <w:szCs w:val="32"/>
        </w:rPr>
        <w:t xml:space="preserve">5. Програма прогнозів</w:t>
      </w:r>
    </w:p>
    <w:p>
      <w:pPr>
        <w:spacing w:before="80" w:after="80"/>
        <w:jc w:val="both"/>
      </w:pPr>
      <w:r>
        <w:rPr>
          <w:rFonts w:ascii="Arial" w:cs="Arial" w:eastAsia="Arial" w:hAnsi="Arial"/>
          <w:sz w:val="22"/>
          <w:szCs w:val="22"/>
        </w:rPr>
        <w:t xml:space="preserve">Синтез породжує понад 30 перевірюваних прогнозів:</w:t>
      </w:r>
    </w:p>
    <w:p>
      <w:pPr>
        <w:spacing w:before="60" w:after="60"/>
      </w:pPr>
      <w:r>
        <w:t xml:space="preserve"/>
      </w:r>
    </w:p>
    <w:p>
      <w:pPr>
        <w:pStyle w:val="ListParagraph"/>
        <w:numPr>
          <w:ilvl w:val="0"/>
          <w:numId w:val="2"/>
        </w:numPr>
        <w:spacing w:before="60" w:after="60"/>
      </w:pPr>
      <w:r>
        <w:rPr>
          <w:rFonts w:ascii="Arial" w:cs="Arial" w:eastAsia="Arial" w:hAnsi="Arial"/>
          <w:sz w:val="22"/>
          <w:szCs w:val="22"/>
        </w:rPr>
        <w:t xml:space="preserve">P1 (RVM): Зсув масштабу БАО: δr*/r* ≈ ν/2 ≈ 5×10⁻⁴. Мішень: DESI DR3/DR4.</w:t>
      </w:r>
    </w:p>
    <w:p>
      <w:pPr>
        <w:pStyle w:val="ListParagraph"/>
        <w:numPr>
          <w:ilvl w:val="0"/>
          <w:numId w:val="2"/>
        </w:numPr>
        <w:spacing w:before="60" w:after="60"/>
      </w:pPr>
      <w:r>
        <w:rPr>
          <w:rFonts w:ascii="Arial" w:cs="Arial" w:eastAsia="Arial" w:hAnsi="Arial"/>
          <w:sz w:val="22"/>
          <w:szCs w:val="22"/>
        </w:rPr>
        <w:t xml:space="preserve">P2 (CCDR): Не-ґауссівський біспектр з шестикутним надлишком при θ ≈ 60°. Мішень: Euclid.</w:t>
      </w:r>
    </w:p>
    <w:p>
      <w:pPr>
        <w:pStyle w:val="ListParagraph"/>
        <w:numPr>
          <w:ilvl w:val="0"/>
          <w:numId w:val="2"/>
        </w:numPr>
        <w:spacing w:before="60" w:after="60"/>
      </w:pPr>
      <w:r>
        <w:rPr>
          <w:rFonts w:ascii="Arial" w:cs="Arial" w:eastAsia="Arial" w:hAnsi="Arial"/>
          <w:sz w:val="22"/>
          <w:szCs w:val="22"/>
        </w:rPr>
        <w:t xml:space="preserve">P4 (CCDR): Аномалії великих кутів РКМ з єдиного геометричного джерела. Мішень: CMB-S4, LiteBIRD.</w:t>
      </w:r>
    </w:p>
    <w:p>
      <w:pPr>
        <w:pStyle w:val="ListParagraph"/>
        <w:numPr>
          <w:ilvl w:val="0"/>
          <w:numId w:val="2"/>
        </w:numPr>
        <w:spacing w:before="60" w:after="60"/>
      </w:pPr>
      <w:r>
        <w:rPr>
          <w:rFonts w:ascii="Arial" w:cs="Arial" w:eastAsia="Arial" w:hAnsi="Arial"/>
          <w:sz w:val="22"/>
          <w:szCs w:val="22"/>
        </w:rPr>
        <w:t xml:space="preserve">P5 (CDT/CCDR): Універсальність в’язкості KSS: η/s = ħ/4πkB на будь-якому голографічному обмежуванні. Мішень: RHIC/LHC.</w:t>
      </w:r>
    </w:p>
    <w:p>
      <w:pPr>
        <w:pStyle w:val="ListParagraph"/>
        <w:numPr>
          <w:ilvl w:val="0"/>
          <w:numId w:val="2"/>
        </w:numPr>
        <w:spacing w:before="60" w:after="60"/>
      </w:pPr>
      <w:r>
        <w:rPr>
          <w:rFonts w:ascii="Arial" w:cs="Arial" w:eastAsia="Arial" w:hAnsi="Arial"/>
          <w:sz w:val="22"/>
          <w:szCs w:val="22"/>
        </w:rPr>
        <w:t xml:space="preserve">P7 (RVM/CCDR): Осциляція w(z) з часовими піками Бреґга, періодичними при H∞. Мішень: Roman ST, DESI.</w:t>
      </w:r>
    </w:p>
    <w:p>
      <w:pPr>
        <w:pStyle w:val="ListParagraph"/>
        <w:numPr>
          <w:ilvl w:val="0"/>
          <w:numId w:val="2"/>
        </w:numPr>
        <w:spacing w:before="60" w:after="60"/>
      </w:pPr>
      <w:r>
        <w:rPr>
          <w:rFonts w:ascii="Arial" w:cs="Arial" w:eastAsia="Arial" w:hAnsi="Arial"/>
          <w:sz w:val="22"/>
          <w:szCs w:val="22"/>
        </w:rPr>
        <w:t xml:space="preserve">P9 (LGT/SSM/AS): Повні константи з’язку і маси ферміонів з геометрії CDT. Мішень: обчислення CDT.</w:t>
      </w:r>
    </w:p>
    <w:p>
      <w:pPr>
        <w:pStyle w:val="ListParagraph"/>
        <w:numPr>
          <w:ilvl w:val="0"/>
          <w:numId w:val="2"/>
        </w:numPr>
        <w:spacing w:before="60" w:after="60"/>
      </w:pPr>
      <w:r>
        <w:rPr>
          <w:rFonts w:ascii="Arial" w:cs="Arial" w:eastAsia="Arial" w:hAnsi="Arial"/>
          <w:sz w:val="22"/>
          <w:szCs w:val="22"/>
        </w:rPr>
        <w:t xml:space="preserve">BA1: η варіює з космічною павутиною: δη/η ~ ν ~ 10⁻³ у нитках вс пустотах. Мішень: Euclid, DESI, CMB-S4.</w:t>
      </w:r>
    </w:p>
    <w:p>
      <w:pPr>
        <w:pStyle w:val="ListParagraph"/>
        <w:numPr>
          <w:ilvl w:val="0"/>
          <w:numId w:val="2"/>
        </w:numPr>
        <w:spacing w:before="60" w:after="60"/>
      </w:pPr>
      <w:r>
        <w:rPr>
          <w:rFonts w:ascii="Arial" w:cs="Arial" w:eastAsia="Arial" w:hAnsi="Arial"/>
          <w:sz w:val="22"/>
          <w:szCs w:val="22"/>
        </w:rPr>
        <w:t xml:space="preserve">BA3 (AQN): Підписи анігіляції AQN: лінія 511 кеВ, дифузне випромінювання. Мішень: INTEGRAL/SPI, eROSITA.</w:t>
      </w:r>
    </w:p>
    <w:p>
      <w:pPr>
        <w:pStyle w:val="ListParagraph"/>
        <w:numPr>
          <w:ilvl w:val="0"/>
          <w:numId w:val="2"/>
        </w:numPr>
        <w:spacing w:before="60" w:after="60"/>
      </w:pPr>
      <w:r>
        <w:rPr>
          <w:rFonts w:ascii="Arial" w:cs="Arial" w:eastAsia="Arial" w:hAnsi="Arial"/>
          <w:sz w:val="22"/>
          <w:szCs w:val="22"/>
        </w:rPr>
        <w:t xml:space="preserve">BA5: Східоподібне збільшення η на кожній T кристалізації — відбиток в спектрі ГX. Мішень: LISA.</w:t>
      </w:r>
    </w:p>
    <w:p>
      <w:pPr>
        <w:spacing w:before="60" w:after="60"/>
      </w:pPr>
      <w:r>
        <w:t xml:space="preserve"/>
      </w:r>
    </w:p>
    <w:p>
      <w:pPr>
        <w:pStyle w:val="Heading1"/>
        <w:spacing w:before="320" w:after="160"/>
      </w:pPr>
      <w:r>
        <w:rPr>
          <w:rFonts w:ascii="Arial" w:cs="Arial" w:eastAsia="Arial" w:hAnsi="Arial"/>
          <w:b/>
          <w:bCs/>
          <w:color w:val="1A3A5C"/>
          <w:sz w:val="32"/>
          <w:szCs w:val="32"/>
        </w:rPr>
        <w:t xml:space="preserve">6. Архітектура восьмох шарів</w:t>
      </w:r>
    </w:p>
    <w:p>
      <w:pPr>
        <w:pStyle w:val="ListParagraph"/>
        <w:numPr>
          <w:ilvl w:val="0"/>
          <w:numId w:val="2"/>
        </w:numPr>
        <w:spacing w:before="60" w:after="60"/>
      </w:pPr>
      <w:r>
        <w:rPr>
          <w:rFonts w:ascii="Arial" w:cs="Arial" w:eastAsia="Arial" w:hAnsi="Arial"/>
          <w:sz w:val="22"/>
          <w:szCs w:val="22"/>
        </w:rPr>
        <w:t xml:space="preserve">Шар 1 — LGT (Вілсон 1974): Калькулятор. Оператор Дірака, Monte-Carlo, ферміонний пропагатор. Без LGT усі інші шари залишаються якісними.</w:t>
      </w:r>
    </w:p>
    <w:p>
      <w:pPr>
        <w:pStyle w:val="ListParagraph"/>
        <w:numPr>
          <w:ilvl w:val="0"/>
          <w:numId w:val="2"/>
        </w:numPr>
        <w:spacing w:before="60" w:after="60"/>
      </w:pPr>
      <w:r>
        <w:rPr>
          <w:rFonts w:ascii="Arial" w:cs="Arial" w:eastAsia="Arial" w:hAnsi="Arial"/>
          <w:sz w:val="22"/>
          <w:szCs w:val="22"/>
        </w:rPr>
        <w:t xml:space="preserve">Шар 2 — AS (Вайнберг 1979, Ройтер 1998): УФ-завершення. Сталі константи з’язку із вхідних параметрів стають результатом обчислень.</w:t>
      </w:r>
    </w:p>
    <w:p>
      <w:pPr>
        <w:pStyle w:val="ListParagraph"/>
        <w:numPr>
          <w:ilvl w:val="0"/>
          <w:numId w:val="2"/>
        </w:numPr>
        <w:spacing w:before="60" w:after="60"/>
      </w:pPr>
      <w:r>
        <w:rPr>
          <w:rFonts w:ascii="Arial" w:cs="Arial" w:eastAsia="Arial" w:hAnsi="Arial"/>
          <w:sz w:val="22"/>
          <w:szCs w:val="22"/>
        </w:rPr>
        <w:t xml:space="preserve">Шар 3 — SSM/NCG (Конн 1996, Шамседдін–Конн 2007): Дія. Повний лагранжіан СМ із спектральної дії на CDT.</w:t>
      </w:r>
    </w:p>
    <w:p>
      <w:pPr>
        <w:pStyle w:val="ListParagraph"/>
        <w:numPr>
          <w:ilvl w:val="0"/>
          <w:numId w:val="2"/>
        </w:numPr>
        <w:spacing w:before="60" w:after="60"/>
      </w:pPr>
      <w:r>
        <w:rPr>
          <w:rFonts w:ascii="Arial" w:cs="Arial" w:eastAsia="Arial" w:hAnsi="Arial"/>
          <w:sz w:val="22"/>
          <w:szCs w:val="22"/>
        </w:rPr>
        <w:t xml:space="preserve">Шар 4 — RVM (Шапіро &amp; Солà 2002): Двигун. Динамічне рівняння охолодження вакууму і параметр ν ~ 10⁻³.</w:t>
      </w:r>
    </w:p>
    <w:p>
      <w:pPr>
        <w:pStyle w:val="ListParagraph"/>
        <w:numPr>
          <w:ilvl w:val="0"/>
          <w:numId w:val="2"/>
        </w:numPr>
        <w:spacing w:before="60" w:after="60"/>
      </w:pPr>
      <w:r>
        <w:rPr>
          <w:rFonts w:ascii="Arial" w:cs="Arial" w:eastAsia="Arial" w:hAnsi="Arial"/>
          <w:sz w:val="22"/>
          <w:szCs w:val="22"/>
        </w:rPr>
        <w:t xml:space="preserve">Шар 5 — AQN (Жітницький 2003): Мікрофізика темного сектору. Конденсація ТМ з масштабу КХД і механізм баріонної асиметрії.</w:t>
      </w:r>
    </w:p>
    <w:p>
      <w:pPr>
        <w:pStyle w:val="ListParagraph"/>
        <w:numPr>
          <w:ilvl w:val="0"/>
          <w:numId w:val="2"/>
        </w:numPr>
        <w:spacing w:before="60" w:after="60"/>
      </w:pPr>
      <w:r>
        <w:rPr>
          <w:rFonts w:ascii="Arial" w:cs="Arial" w:eastAsia="Arial" w:hAnsi="Arial"/>
          <w:sz w:val="22"/>
          <w:szCs w:val="22"/>
        </w:rPr>
        <w:t xml:space="preserve">Шар 6 — CDT (Амбйорн–Юрківіч–Лолл 2004): Фундамент. Мікроскопічний геометричний субстрат. Група S5 дає групу калібрувань СМ.</w:t>
      </w:r>
    </w:p>
    <w:p>
      <w:pPr>
        <w:pStyle w:val="ListParagraph"/>
        <w:numPr>
          <w:ilvl w:val="0"/>
          <w:numId w:val="2"/>
        </w:numPr>
        <w:spacing w:before="60" w:after="60"/>
      </w:pPr>
      <w:r>
        <w:rPr>
          <w:rFonts w:ascii="Arial" w:cs="Arial" w:eastAsia="Arial" w:hAnsi="Arial"/>
          <w:sz w:val="22"/>
          <w:szCs w:val="22"/>
        </w:rPr>
        <w:t xml:space="preserve">Шар 7 — TN (Рю–Такаянаґі 2006, Гейден та ін. 2016): Голографічний місток. Ентропія заплутання з’єднує CDT і CCDR.</w:t>
      </w:r>
    </w:p>
    <w:p>
      <w:pPr>
        <w:pStyle w:val="ListParagraph"/>
        <w:numPr>
          <w:ilvl w:val="0"/>
          <w:numId w:val="2"/>
        </w:numPr>
        <w:spacing w:before="60" w:after="60"/>
      </w:pPr>
      <w:r>
        <w:rPr>
          <w:rFonts w:ascii="Arial" w:cs="Arial" w:eastAsia="Arial" w:hAnsi="Arial"/>
          <w:sz w:val="22"/>
          <w:szCs w:val="22"/>
        </w:rPr>
        <w:t xml:space="preserve">Шар 8 — CCDR (2026): Об’єднуючий принцип. χ → 1 — тригер розмірної редукції. Усі ці явища — прояви єдиного просторо–часового кристала.</w:t>
      </w:r>
    </w:p>
    <w:p>
      <w:pPr>
        <w:spacing w:before="60" w:after="60"/>
      </w:pPr>
      <w:r>
        <w:t xml:space="preserve"/>
      </w:r>
    </w:p>
    <w:p>
      <w:pPr>
        <w:pStyle w:val="Heading1"/>
        <w:spacing w:before="320" w:after="160"/>
      </w:pPr>
      <w:r>
        <w:rPr>
          <w:rFonts w:ascii="Arial" w:cs="Arial" w:eastAsia="Arial" w:hAnsi="Arial"/>
          <w:b/>
          <w:bCs/>
          <w:color w:val="1A3A5C"/>
          <w:sz w:val="32"/>
          <w:szCs w:val="32"/>
        </w:rPr>
        <w:t xml:space="preserve">7. Висновок</w:t>
      </w:r>
    </w:p>
    <w:p>
      <w:pPr>
        <w:spacing w:before="80" w:after="80"/>
        <w:jc w:val="both"/>
      </w:pPr>
      <w:r>
        <w:rPr>
          <w:rFonts w:ascii="Arial" w:cs="Arial" w:eastAsia="Arial" w:hAnsi="Arial"/>
          <w:sz w:val="22"/>
          <w:szCs w:val="22"/>
        </w:rPr>
        <w:t xml:space="preserve">Синтез LGT–AS–SSM–RVM–AQN–CDT–TN–CCDR є першою повною восьмишаровою архітектурою, яка об’єднує квантову гравітацію, фізику частинок, космологію і темний сектор шляхом єдиного кристалографічного принципу. Кожна концепція розроблялася незалежно, але синтез доводить: вони не просто сумісні, а архітектурно необхідні один для одного.</w:t>
      </w:r>
    </w:p>
    <w:p>
      <w:pPr>
        <w:spacing w:before="80" w:after="80"/>
        <w:jc w:val="both"/>
      </w:pPr>
      <w:r>
        <w:rPr>
          <w:rFonts w:ascii="Arial" w:cs="Arial" w:eastAsia="Arial" w:hAnsi="Arial"/>
          <w:sz w:val="22"/>
          <w:szCs w:val="22"/>
        </w:rPr>
        <w:t xml:space="preserve">Три флагманські результати: (1) структура калібрувань СМ із симетрії 4-симплексу CDT; (2) баріонна асиметрія η ~ 10⁻¹⁰ як сегрегація при кристалізації; (3) космологія часового кристалу з ν ~ 10⁻³ — кожен доступний для перевірки на DESI, Euclid, CMB-S4, LISA, NANOGrav, INTEGRAL/SPI, LHC та Belle II.</w:t>
      </w:r>
    </w:p>
    <w:p>
      <w:pPr>
        <w:spacing w:before="80" w:after="80"/>
        <w:jc w:val="both"/>
      </w:pPr>
      <w:r>
        <w:rPr>
          <w:rFonts w:ascii="Arial" w:cs="Arial" w:eastAsia="Arial" w:hAnsi="Arial"/>
          <w:sz w:val="22"/>
          <w:szCs w:val="22"/>
        </w:rPr>
        <w:t xml:space="preserve">Синтез відповідає на найглибші структурні питання: Чому ця група калібрувань? Чому три покоління? Чому тако багато речовини і так мало антиматерії? Чому космологічна стала така мала, але не нульова? Відповідь одна: тому що Всесвіт — це хіральний простіро–часовий кристал, а кристали мають структуру.</w:t>
      </w:r>
    </w:p>
    <w:p>
      <w:pPr>
        <w:spacing w:before="60" w:after="60"/>
      </w:pPr>
      <w:r>
        <w:t xml:space="preserve"/>
      </w:r>
    </w:p>
    <w:p>
      <w:pPr>
        <w:pStyle w:val="Heading1"/>
        <w:spacing w:before="320" w:after="160"/>
      </w:pPr>
      <w:r>
        <w:rPr>
          <w:rFonts w:ascii="Arial" w:cs="Arial" w:eastAsia="Arial" w:hAnsi="Arial"/>
          <w:b/>
          <w:bCs/>
          <w:color w:val="1A3A5C"/>
          <w:sz w:val="32"/>
          <w:szCs w:val="32"/>
        </w:rPr>
        <w:t xml:space="preserve">Список літератури</w:t>
      </w:r>
    </w:p>
    <w:p>
      <w:pPr>
        <w:spacing w:before="80" w:after="80"/>
        <w:jc w:val="both"/>
      </w:pPr>
      <w:r>
        <w:rPr>
          <w:rFonts w:ascii="Arial" w:cs="Arial" w:eastAsia="Arial" w:hAnsi="Arial"/>
          <w:sz w:val="22"/>
          <w:szCs w:val="22"/>
        </w:rPr>
        <w:t xml:space="preserve">[1] Вілсон, К.Дж. (1974). Confinement of quarks. Physical Review D 10, 2445.</w:t>
      </w:r>
    </w:p>
    <w:p>
      <w:pPr>
        <w:spacing w:before="80" w:after="80"/>
        <w:jc w:val="both"/>
      </w:pPr>
      <w:r>
        <w:rPr>
          <w:rFonts w:ascii="Arial" w:cs="Arial" w:eastAsia="Arial" w:hAnsi="Arial"/>
          <w:sz w:val="22"/>
          <w:szCs w:val="22"/>
        </w:rPr>
        <w:t xml:space="preserve">[2] Вайнберг, С. (1979). Ultraviolet divergences in quantum theories of gravitation. In General Relativity: An Einstein Centenary Survey.</w:t>
      </w:r>
    </w:p>
    <w:p>
      <w:pPr>
        <w:spacing w:before="80" w:after="80"/>
        <w:jc w:val="both"/>
      </w:pPr>
      <w:r>
        <w:rPr>
          <w:rFonts w:ascii="Arial" w:cs="Arial" w:eastAsia="Arial" w:hAnsi="Arial"/>
          <w:sz w:val="22"/>
          <w:szCs w:val="22"/>
        </w:rPr>
        <w:t xml:space="preserve">[3] Ройтер, М. (1998). Nonperturbative evolution equation for quantum gravity. Physical Review D 57, 971.</w:t>
      </w:r>
    </w:p>
    <w:p>
      <w:pPr>
        <w:spacing w:before="80" w:after="80"/>
        <w:jc w:val="both"/>
      </w:pPr>
      <w:r>
        <w:rPr>
          <w:rFonts w:ascii="Arial" w:cs="Arial" w:eastAsia="Arial" w:hAnsi="Arial"/>
          <w:sz w:val="22"/>
          <w:szCs w:val="22"/>
        </w:rPr>
        <w:t xml:space="preserve">[4] Конн, А. (1996). Gravity coupled with matter and the foundation of non-commutative geometry. Communications in Mathematical Physics 182, 155–176.</w:t>
      </w:r>
    </w:p>
    <w:p>
      <w:pPr>
        <w:spacing w:before="80" w:after="80"/>
        <w:jc w:val="both"/>
      </w:pPr>
      <w:r>
        <w:rPr>
          <w:rFonts w:ascii="Arial" w:cs="Arial" w:eastAsia="Arial" w:hAnsi="Arial"/>
          <w:sz w:val="22"/>
          <w:szCs w:val="22"/>
        </w:rPr>
        <w:t xml:space="preserve">[5] Шамседдін, А.Г. &amp; Конн, А. (2007). Noncommutative geometry as a framework for unification. Fortschritte der Physik 58, 553–600.</w:t>
      </w:r>
    </w:p>
    <w:p>
      <w:pPr>
        <w:spacing w:before="80" w:after="80"/>
        <w:jc w:val="both"/>
      </w:pPr>
      <w:r>
        <w:rPr>
          <w:rFonts w:ascii="Arial" w:cs="Arial" w:eastAsia="Arial" w:hAnsi="Arial"/>
          <w:sz w:val="22"/>
          <w:szCs w:val="22"/>
        </w:rPr>
        <w:t xml:space="preserve">[6] Шапіро, І.Л. &amp; Солà, Дж. (2002). Cosmological constant, renormalization group and Planck scale physics. Physics Letters B 530, 10–19.</w:t>
      </w:r>
    </w:p>
    <w:p>
      <w:pPr>
        <w:spacing w:before="80" w:after="80"/>
        <w:jc w:val="both"/>
      </w:pPr>
      <w:r>
        <w:rPr>
          <w:rFonts w:ascii="Arial" w:cs="Arial" w:eastAsia="Arial" w:hAnsi="Arial"/>
          <w:sz w:val="22"/>
          <w:szCs w:val="22"/>
        </w:rPr>
        <w:t xml:space="preserve">[7] Солà Перакаула, Дж. та ін. (2023). Running vacuum model in quantum field theory in curved spacetime. European Physical Journal C 83, 516.</w:t>
      </w:r>
    </w:p>
    <w:p>
      <w:pPr>
        <w:spacing w:before="80" w:after="80"/>
        <w:jc w:val="both"/>
      </w:pPr>
      <w:r>
        <w:rPr>
          <w:rFonts w:ascii="Arial" w:cs="Arial" w:eastAsia="Arial" w:hAnsi="Arial"/>
          <w:sz w:val="22"/>
          <w:szCs w:val="22"/>
        </w:rPr>
        <w:t xml:space="preserve">[8] Жітницький, А.Р. (2003). Dark matter as dense QCD nuggets. JCAP 10, 010.</w:t>
      </w:r>
    </w:p>
    <w:p>
      <w:pPr>
        <w:spacing w:before="80" w:after="80"/>
        <w:jc w:val="both"/>
      </w:pPr>
      <w:r>
        <w:rPr>
          <w:rFonts w:ascii="Arial" w:cs="Arial" w:eastAsia="Arial" w:hAnsi="Arial"/>
          <w:sz w:val="22"/>
          <w:szCs w:val="22"/>
        </w:rPr>
        <w:t xml:space="preserve">[9] Амбйорн, Я., Юрківіч, Ю. &amp; Лолл, Р. (2004). Emergence of a 4D world from causal quantum gravity. Physical Review Letters 93, 131301.</w:t>
      </w:r>
    </w:p>
    <w:p>
      <w:pPr>
        <w:spacing w:before="80" w:after="80"/>
        <w:jc w:val="both"/>
      </w:pPr>
      <w:r>
        <w:rPr>
          <w:rFonts w:ascii="Arial" w:cs="Arial" w:eastAsia="Arial" w:hAnsi="Arial"/>
          <w:sz w:val="22"/>
          <w:szCs w:val="22"/>
        </w:rPr>
        <w:t xml:space="preserve">[10] Рю, С. &amp; Такаянаґі, Т. (2006). Holographic derivation of entanglement entropy. Physical Review Letters 96, 181602.</w:t>
      </w:r>
    </w:p>
    <w:p>
      <w:pPr>
        <w:spacing w:before="80" w:after="80"/>
        <w:jc w:val="both"/>
      </w:pPr>
      <w:r>
        <w:rPr>
          <w:rFonts w:ascii="Arial" w:cs="Arial" w:eastAsia="Arial" w:hAnsi="Arial"/>
          <w:sz w:val="22"/>
          <w:szCs w:val="22"/>
        </w:rPr>
        <w:t xml:space="preserve">[11] Гейден, П. та ін. (2016). Holographic duality from random tensor networks. JHEP 11, 009.</w:t>
      </w:r>
    </w:p>
    <w:p>
      <w:pPr>
        <w:spacing w:before="80" w:after="80"/>
        <w:jc w:val="both"/>
      </w:pPr>
      <w:r>
        <w:rPr>
          <w:rFonts w:ascii="Arial" w:cs="Arial" w:eastAsia="Arial" w:hAnsi="Arial"/>
          <w:sz w:val="22"/>
          <w:szCs w:val="22"/>
        </w:rPr>
        <w:t xml:space="preserve">[12] Сахаров, А.Д. (1967). Violation of CP invariance. JETP Letters 5, 24.</w:t>
      </w:r>
    </w:p>
    <w:p>
      <w:pPr>
        <w:spacing w:before="80" w:after="80"/>
        <w:jc w:val="both"/>
      </w:pPr>
      <w:r>
        <w:rPr>
          <w:rFonts w:ascii="Arial" w:cs="Arial" w:eastAsia="Arial" w:hAnsi="Arial"/>
          <w:sz w:val="22"/>
          <w:szCs w:val="22"/>
        </w:rPr>
        <w:t xml:space="preserve">[13] DESI Collaboration (2025). DESI 2024 cosmological results. arXiv:2503.14738.</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3A5C"/>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5B8A"/>
      <w:sz w:val="28"/>
      <w:szCs w:val="28"/>
    </w:rPr>
  </w:style>
  <w:style w:type="paragraph" w:styleId="Heading3">
    <w:name w:val="Heading 3"/>
    <w:basedOn w:val="Normal"/>
    <w:next w:val="Normal"/>
    <w:qFormat/>
    <w:pPr>
      <w:spacing w:before="200" w:after="80"/>
      <w:outlineLvl w:val="2"/>
    </w:pPr>
    <w:rPr>
      <w:rFonts w:ascii="Arial" w:cs="Arial" w:eastAsia="Arial" w:hAnsi="Arial"/>
      <w:b/>
      <w:bCs/>
      <w:color w:val="3A7AB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2026-03-27T10:47:13.754Z</dcterms:created>
  <dcterms:modified xsi:type="dcterms:W3CDTF">2026-03-27T10:47:13.755Z</dcterms:modified>
</cp:coreProperties>
</file>

<file path=docProps/custom.xml><?xml version="1.0" encoding="utf-8"?>
<Properties xmlns="http://schemas.openxmlformats.org/officeDocument/2006/custom-properties" xmlns:vt="http://schemas.openxmlformats.org/officeDocument/2006/docPropsVTypes"/>
</file>