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Розширений</w:t>
      </w:r>
      <w:r>
        <w:t xml:space="preserve"> </w:t>
      </w:r>
      <w:r>
        <w:t xml:space="preserve">кристалографічний</w:t>
      </w:r>
      <w:r>
        <w:t xml:space="preserve"> </w:t>
      </w:r>
      <w:r>
        <w:t xml:space="preserve">синтез</w:t>
      </w:r>
      <w:r>
        <w:t xml:space="preserve"> </w:t>
      </w:r>
      <w:r>
        <w:t xml:space="preserve">(v3.3)</w:t>
      </w:r>
    </w:p>
    <w:p>
      <w:pPr>
        <w:pStyle w:val="Subtitle"/>
      </w:pPr>
      <w:r>
        <w:t xml:space="preserve">12</w:t>
      </w:r>
      <w:r>
        <w:t xml:space="preserve"> </w:t>
      </w:r>
      <w:r>
        <w:t xml:space="preserve">первинних</w:t>
      </w:r>
      <w:r>
        <w:t xml:space="preserve"> </w:t>
      </w:r>
      <w:r>
        <w:t xml:space="preserve">систем,</w:t>
      </w:r>
      <w:r>
        <w:t xml:space="preserve"> </w:t>
      </w:r>
      <w:r>
        <w:t xml:space="preserve">3</w:t>
      </w:r>
      <w:r>
        <w:t xml:space="preserve"> </w:t>
      </w:r>
      <w:r>
        <w:t xml:space="preserve">альтернативні</w:t>
      </w:r>
      <w:r>
        <w:t xml:space="preserve"> </w:t>
      </w:r>
      <w:r>
        <w:t xml:space="preserve">гілки,</w:t>
      </w:r>
      <w:r>
        <w:t xml:space="preserve"> </w:t>
      </w:r>
      <w:r>
        <w:t xml:space="preserve">9</w:t>
      </w:r>
      <w:r>
        <w:t xml:space="preserve"> </w:t>
      </w:r>
      <w:r>
        <w:t xml:space="preserve">шляхів</w:t>
      </w:r>
      <w:r>
        <w:t xml:space="preserve"> </w:t>
      </w:r>
      <w:r>
        <w:t xml:space="preserve">розв’язання</w:t>
      </w:r>
      <w:r>
        <w:t xml:space="preserve"> </w:t>
      </w:r>
      <w:r>
        <w:t xml:space="preserve">—</w:t>
      </w:r>
      <w:r>
        <w:t xml:space="preserve"> </w:t>
      </w:r>
      <w:r>
        <w:t xml:space="preserve">з</w:t>
      </w:r>
      <w:r>
        <w:t xml:space="preserve"> </w:t>
      </w:r>
      <w:r>
        <w:t xml:space="preserve">повним</w:t>
      </w:r>
      <w:r>
        <w:t xml:space="preserve"> </w:t>
      </w:r>
      <w:r>
        <w:t xml:space="preserve">набором</w:t>
      </w:r>
      <w:r>
        <w:t xml:space="preserve"> </w:t>
      </w:r>
      <w:r>
        <w:t xml:space="preserve">передбачень,</w:t>
      </w:r>
      <w:r>
        <w:t xml:space="preserve"> </w:t>
      </w:r>
      <w:r>
        <w:t xml:space="preserve">апріорним</w:t>
      </w:r>
      <w:r>
        <w:t xml:space="preserve"> </w:t>
      </w:r>
      <w:r>
        <w:t xml:space="preserve">розподілом</w:t>
      </w:r>
      <w:r>
        <w:t xml:space="preserve"> </w:t>
      </w:r>
      <w:r>
        <w:t xml:space="preserve">за</w:t>
      </w:r>
      <w:r>
        <w:t xml:space="preserve"> </w:t>
      </w:r>
      <w:r>
        <w:t xml:space="preserve">вимірним</w:t>
      </w:r>
      <w:r>
        <w:t xml:space="preserve"> </w:t>
      </w:r>
      <w:r>
        <w:t xml:space="preserve">походженням,</w:t>
      </w:r>
      <w:r>
        <w:t xml:space="preserve"> </w:t>
      </w:r>
      <w:r>
        <w:t xml:space="preserve">перехресними</w:t>
      </w:r>
      <w:r>
        <w:t xml:space="preserve"> </w:t>
      </w:r>
      <w:r>
        <w:t xml:space="preserve">зв’язками</w:t>
      </w:r>
      <w:r>
        <w:t xml:space="preserve"> </w:t>
      </w:r>
      <w:r>
        <w:t xml:space="preserve">між</w:t>
      </w:r>
      <w:r>
        <w:t xml:space="preserve"> </w:t>
      </w:r>
      <w:r>
        <w:t xml:space="preserve">системами</w:t>
      </w:r>
      <w:r>
        <w:t xml:space="preserve"> </w:t>
      </w:r>
      <w:r>
        <w:t xml:space="preserve">та</w:t>
      </w:r>
      <w:r>
        <w:t xml:space="preserve"> </w:t>
      </w:r>
      <w:r>
        <w:t xml:space="preserve">5-шаровою</w:t>
      </w:r>
      <w:r>
        <w:t xml:space="preserve"> </w:t>
      </w:r>
      <w:r>
        <w:t xml:space="preserve">фальсифікованістю</w:t>
      </w:r>
    </w:p>
    <w:p>
      <w:pPr>
        <w:pStyle w:val="Author"/>
      </w:pPr>
      <w:r>
        <w:t xml:space="preserve">[Імена</w:t>
      </w:r>
      <w:r>
        <w:t xml:space="preserve"> </w:t>
      </w:r>
      <w:r>
        <w:t xml:space="preserve">авторів</w:t>
      </w:r>
      <w:r>
        <w:t xml:space="preserve"> </w:t>
      </w:r>
      <w:r>
        <w:t xml:space="preserve">приховано]</w:t>
      </w:r>
    </w:p>
    <w:p>
      <w:pPr>
        <w:pStyle w:val="Date"/>
      </w:pPr>
      <w:r>
        <w:t xml:space="preserve">Квітень</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анотація"/>
    <w:p>
      <w:pPr>
        <w:pStyle w:val="Heading1"/>
      </w:pPr>
      <w:r>
        <w:t xml:space="preserve">Анотація</w:t>
      </w:r>
    </w:p>
    <w:p>
      <w:pPr>
        <w:pStyle w:val="FirstParagraph"/>
      </w:pPr>
      <w:r>
        <w:t xml:space="preserve">Синтез v3.3 — це поточна архітектура програми з дванадцяти систем, трьох гілок та дев’яти шляхів дослідження, заякореної до CCDR v7.3. Архітектура побудована навколо трьох принципів: (1) N є спостережуваною величиною, що визначається підрахунком піків прямої детекції під апріорним розподілом за вимірним походженням, а не теоретичною константою; (2) вимірні редукції є локальними, асинхронними та потенційно триваючими; (3) система явно забороняє передавання інформації FTL і поважає термодинамічну спрямованість часу.</w:t>
      </w:r>
    </w:p>
    <w:p>
      <w:pPr>
        <w:pStyle w:val="BodyText"/>
      </w:pPr>
      <w:r>
        <w:t xml:space="preserve">Дванадцять систем поділяються на рівні за спостережувальною близькістю (3 рівні) та перехрещуються ієрархією фальсифікації (5 шарів). Три альтернативні замінні гілки забезпечують запасні шляхи на випадок, якщо основні компоненти ланцюга зазнають невдачі.</w:t>
      </w:r>
      <w:r>
        <w:t xml:space="preserve"> </w:t>
      </w:r>
      <w:r>
        <w:rPr>
          <w:bCs/>
          <w:b/>
        </w:rPr>
        <w:t xml:space="preserve">Дев’ять шляхів розв’язання</w:t>
      </w:r>
      <w:r>
        <w:t xml:space="preserve"> </w:t>
      </w:r>
      <w:r>
        <w:t xml:space="preserve">(шість первісних плюс три додані у v3.3) закривають решту відкритих проблем з використанням існуючих зовнішніх інструментів. Повний ланцюг рівнянь простежує виведення від CDT-симплексів до спостережуваних передбачень.</w:t>
      </w:r>
      <w:r>
        <w:t xml:space="preserve"> </w:t>
      </w:r>
      <w:r>
        <w:rPr>
          <w:bCs/>
          <w:b/>
        </w:rPr>
        <w:t xml:space="preserve">Тридцять вісім пронумерованих передбачень із повними прозовими описами</w:t>
      </w:r>
      <w:r>
        <w:t xml:space="preserve"> </w:t>
      </w:r>
      <w:r>
        <w:t xml:space="preserve">несуться разом із CCDR v7.3.</w:t>
      </w:r>
    </w:p>
    <w:p>
      <w:pPr>
        <w:pStyle w:val="BodyText"/>
      </w:pPr>
      <w:r>
        <w:rPr>
          <w:bCs/>
          <w:b/>
        </w:rPr>
        <w:t xml:space="preserve">Зміни у v3.3.</w:t>
      </w:r>
      <w:r>
        <w:t xml:space="preserve"> </w:t>
      </w:r>
      <w:r>
        <w:t xml:space="preserve">(i) Кожне пронумероване передбачення отримує повний прозовий опис через перехресне посилання на §8 CCDR v7.3. (ii) Три нові шляхи розв’язання розширюють §6 із шести до дев’яти: конформний бутстрап на C-фазі CDT (Шлях 7), квантово-симуляторний аналог малого-N каскаду (Шлях 8), та Діосі–Пенроуз × кількісне визначення редукуючого об’єму (Шлях 9). (iii) Перекласифікація за спостережуваним першим (§10) уточнена</w:t>
      </w:r>
      <w:r>
        <w:t xml:space="preserve"> </w:t>
      </w:r>
      <w:r>
        <w:rPr>
          <w:bCs/>
          <w:b/>
        </w:rPr>
        <w:t xml:space="preserve">апріорним розподілом за вимірним походженням</w:t>
      </w:r>
      <w:r>
        <w:t xml:space="preserve">: ймовірність присутності P_presence(k) ~ (r_k/L_k)^{k−4} означає, що види з вищого вимірного походження систематично менш імовірно присутні у редукуючому об’ємі нашої ділянки. (iv) Новий §14 формалізує три перехресні зв’язки між системами (CL1–CL3), що надають незалежні вилучення ν та переінтерпретацію результату P8c із неправильним знаком.</w:t>
      </w:r>
    </w:p>
    <w:bookmarkEnd w:id="20"/>
    <w:bookmarkStart w:id="36" w:name="первинних-систем"/>
    <w:p>
      <w:pPr>
        <w:pStyle w:val="Heading1"/>
      </w:pPr>
      <w:r>
        <w:t xml:space="preserve">1. 12 первинних систем</w:t>
      </w:r>
    </w:p>
    <w:bookmarkStart w:id="24" w:name="рівень-1-спостережувально-заякорені"/>
    <w:p>
      <w:pPr>
        <w:pStyle w:val="Heading2"/>
      </w:pPr>
      <w:r>
        <w:t xml:space="preserve">Рівень 1 — спостережувально заякорені</w:t>
      </w:r>
    </w:p>
    <w:bookmarkStart w:id="21" w:name="ccdr-2026"/>
    <w:p>
      <w:pPr>
        <w:pStyle w:val="Heading3"/>
      </w:pPr>
      <w:r>
        <w:t xml:space="preserve">1.1 CCDR (2026)</w:t>
      </w:r>
    </w:p>
    <w:p>
      <w:pPr>
        <w:pStyle w:val="FirstParagraph"/>
      </w:pPr>
      <w:r>
        <w:t xml:space="preserve">Об’єднавчий принцип: χ_k → 1 запускає локальну вимірну редукцію. Заякорено: локальним a₀ → Мілгром (підтверджено, −3.3% SPARC); щільнісно-скорельованим κ в Euclid Q1 (+12.99σ, на користь); високо-z трендом a₀ (r = 0.886, p = 0.019, на користь). CCDR v7.3 є поточною формою; апріорний розподіл за вимірним походженням (§4.5 CCDR) тепер є частиною інтерпретації підрахунку піків прямої детекції.</w:t>
      </w:r>
    </w:p>
    <w:bookmarkEnd w:id="21"/>
    <w:bookmarkStart w:id="22" w:name="rvm-шапіро-сола-2002"/>
    <w:p>
      <w:pPr>
        <w:pStyle w:val="Heading3"/>
      </w:pPr>
      <w:r>
        <w:t xml:space="preserve">1.2 RVM — Шапіро &amp; Сола (2002)</w:t>
      </w:r>
    </w:p>
    <w:p>
      <w:pPr>
        <w:pStyle w:val="FirstParagraph"/>
      </w:pPr>
      <w:r>
        <w:t xml:space="preserve">ρ_vac(H) = C₀ + νm²H²/M²_pl. Заякорено спільною ν-підгонкою Planck + Pantheon+ + DESI DR2 із застереженням, що сигнал несеться низькочервоно-зсувними SNe і, можливо, систематичний. Несе ν у діапазоні 10⁻³ ≤ ν ≤ 10⁻². У v3.3 ν вилучається трьома незалежними шляхами (SN, послідовність MOND, Q-фактор часового кристалу; див. §14).</w:t>
      </w:r>
    </w:p>
    <w:bookmarkEnd w:id="22"/>
    <w:bookmarkStart w:id="23" w:name="as-вайнберг-1979-рейтер-1998"/>
    <w:p>
      <w:pPr>
        <w:pStyle w:val="Heading3"/>
      </w:pPr>
      <w:r>
        <w:t xml:space="preserve">1.3 AS — Вайнберг (1979), Рейтер (1998)</w:t>
      </w:r>
    </w:p>
    <w:p>
      <w:pPr>
        <w:pStyle w:val="FirstParagraph"/>
      </w:pPr>
      <w:r>
        <w:t xml:space="preserve">Асимптотична безпека; УФ фіксована точка G</w:t>
      </w:r>
      <w:r>
        <w:rPr>
          <w:iCs/>
          <w:i/>
        </w:rPr>
        <w:t xml:space="preserve">. Усі константи зв’язку як RG власні значення. G(μ) → G</w:t>
      </w:r>
      <w:r>
        <w:t xml:space="preserve">/μ², Λ(μ) → Λ*×μ² при μ → ∞. Заякорено непрямо через зв’язок коефіцієнта біжучого вакууму з однопетлевою RG полів матерії.</w:t>
      </w:r>
    </w:p>
    <w:bookmarkEnd w:id="23"/>
    <w:bookmarkEnd w:id="24"/>
    <w:bookmarkStart w:id="30" w:name="Xc146bfbd1f3e09e069d1bbd6f7b264366f05b59"/>
    <w:p>
      <w:pPr>
        <w:pStyle w:val="Heading2"/>
      </w:pPr>
      <w:r>
        <w:t xml:space="preserve">Рівень 2 — структурно зобов’язані, емпіричний тест очікується</w:t>
      </w:r>
    </w:p>
    <w:bookmarkStart w:id="25" w:name="cdt-амбєрн-юркевич-лолль-2004"/>
    <w:p>
      <w:pPr>
        <w:pStyle w:val="Heading3"/>
      </w:pPr>
      <w:r>
        <w:t xml:space="preserve">1.4 CDT — Амб’єрн, Юркевич, Лолль (2004)</w:t>
      </w:r>
    </w:p>
    <w:p>
      <w:pPr>
        <w:pStyle w:val="FirstParagraph"/>
      </w:pPr>
      <w:r>
        <w:t xml:space="preserve">Симплексний інтеграл по шляхах. Z = Σ_T exp(−S_Regge). Фази A/B/C/C_b. d_s: 4 → 2. Фазовий перехід A → C відповідає першому завершенню каскаду Великого вибуху. Тепер має вміщувати конфігурації змішаної вимірності (локальний/асинхронний каскад v7).</w:t>
      </w:r>
    </w:p>
    <w:bookmarkEnd w:id="25"/>
    <w:bookmarkStart w:id="26" w:name="tn-рю-такаянаґі-2006-хейден-та-ін.-2016"/>
    <w:p>
      <w:pPr>
        <w:pStyle w:val="Heading3"/>
      </w:pPr>
      <w:r>
        <w:t xml:space="preserve">1.5 TN — Рю &amp; Такаянаґі (2006), Хейден та ін. (2016)</w:t>
      </w:r>
    </w:p>
    <w:p>
      <w:pPr>
        <w:pStyle w:val="FirstParagraph"/>
      </w:pPr>
      <w:r>
        <w:t xml:space="preserve">S = Площа/4G. D_eff → e^{1/4} як IR фіксована точка. Голографічний міст. Обмежено фінальною стадією k = 4.</w:t>
      </w:r>
    </w:p>
    <w:bookmarkEnd w:id="26"/>
    <w:bookmarkStart w:id="27" w:name="gft-eprl-оріті-2007-eprl-2008"/>
    <w:p>
      <w:pPr>
        <w:pStyle w:val="Heading3"/>
      </w:pPr>
      <w:r>
        <w:t xml:space="preserve">1.6 GFT + EPRL — Оріті (2007), EPRL (2008)</w:t>
      </w:r>
    </w:p>
    <w:p>
      <w:pPr>
        <w:pStyle w:val="FirstParagraph"/>
      </w:pPr>
      <w:r>
        <w:t xml:space="preserve">Конденсат GFT → ν. Хіральна амплітуда EPRL з γ Барберо–Іммірзі → f_geo ~ 10⁻⁴. Необхідно для каскадно-стадійного потоку констант GFT.</w:t>
      </w:r>
    </w:p>
    <w:bookmarkEnd w:id="27"/>
    <w:bookmarkStart w:id="28" w:name="X96dcb6d725098402a513465c4bd86dc8bf25193"/>
    <w:p>
      <w:pPr>
        <w:pStyle w:val="Heading3"/>
      </w:pPr>
      <w:r>
        <w:t xml:space="preserve">1.7 TGFT-RG — Бен-Ґелун &amp; Рівассо (2012), Каррозза (2014)</w:t>
      </w:r>
    </w:p>
    <w:p>
      <w:pPr>
        <w:pStyle w:val="FirstParagraph"/>
      </w:pPr>
      <w:r>
        <w:t xml:space="preserve">Уілсонівська RG для тензорної GFT. Розв’язує: ν як залежний від стадії вихід RG фіксованої точки; збіжність γ_AS ≈ γ_EPRL (стадія за стадією); стабільність конденсату; CDT A → C як УФ→IR перехід. Розблоковано тепер, коли ν емпірично обмежене.</w:t>
      </w:r>
    </w:p>
    <w:bookmarkEnd w:id="28"/>
    <w:bookmarkStart w:id="29" w:name="ssm-конн-1996-шамседдін-конн-2007"/>
    <w:p>
      <w:pPr>
        <w:pStyle w:val="Heading3"/>
      </w:pPr>
      <w:r>
        <w:t xml:space="preserve">1.8 SSM — Конн (1996), Шамседдін &amp; Конн (2007)</w:t>
      </w:r>
    </w:p>
    <w:p>
      <w:pPr>
        <w:pStyle w:val="FirstParagraph"/>
      </w:pPr>
      <w:r>
        <w:t xml:space="preserve">L_SM = Tr(f(D_CDT/Λ)) + ⟨Jψ, D_CDTψ⟩. Повний лагранжіан SM зі спектральної дії на геометрії CDT. Несе структурне зобов’язання до секторо-залежних масштабів кристалізації для співвідношень Коіде.</w:t>
      </w:r>
    </w:p>
    <w:bookmarkEnd w:id="29"/>
    <w:bookmarkEnd w:id="30"/>
    <w:bookmarkStart w:id="35" w:name="Xcf4c4689f4ab7360c4c4d06980e3cae3b780196"/>
    <w:p>
      <w:pPr>
        <w:pStyle w:val="Heading2"/>
      </w:pPr>
      <w:r>
        <w:t xml:space="preserve">Рівень 3 — алгебраїчні/структурні, перевірки на узгодженість</w:t>
      </w:r>
    </w:p>
    <w:bookmarkStart w:id="31" w:name="aqn-жидницький-2003"/>
    <w:p>
      <w:pPr>
        <w:pStyle w:val="Heading3"/>
      </w:pPr>
      <w:r>
        <w:t xml:space="preserve">1.9 AQN — Жидницький (2003)</w:t>
      </w:r>
    </w:p>
    <w:p>
      <w:pPr>
        <w:pStyle w:val="FirstParagraph"/>
      </w:pPr>
      <w:r>
        <w:t xml:space="preserve">Аксіонні кваркові нагеці як дефекти кристалу. Роблять внесок у Ω_4 (найлегший каскадний залишок). Бариогенез: η ~ ν × δ_CP × f_geo ~ 10⁻¹⁰. Не рахує темні сектори у v3.3.</w:t>
      </w:r>
    </w:p>
    <w:bookmarkEnd w:id="31"/>
    <w:bookmarkStart w:id="32" w:name="dao-фюрі-20122018-баез-2001"/>
    <w:p>
      <w:pPr>
        <w:pStyle w:val="Heading3"/>
      </w:pPr>
      <w:r>
        <w:t xml:space="preserve">1.10 DA/O — Ф’юрі (2012/2018), Баез (2001)</w:t>
      </w:r>
    </w:p>
    <w:p>
      <w:pPr>
        <w:pStyle w:val="FirstParagraph"/>
      </w:pPr>
      <w:r>
        <w:t xml:space="preserve">C ⊗ H ⊗ O → SU(3) × SU(2) × U(1). Надає верхню межу N ≤ 11. Перевірка на узгодженість для групи калібрування на фінальній стадії. Не фіксує N.</w:t>
      </w:r>
    </w:p>
    <w:bookmarkEnd w:id="32"/>
    <w:bookmarkStart w:id="33" w:name="happy-пастовський-та-ін.-2015"/>
    <w:p>
      <w:pPr>
        <w:pStyle w:val="Heading3"/>
      </w:pPr>
      <w:r>
        <w:t xml:space="preserve">1.11 HaPPY — Пастовський та ін. (2015)</w:t>
      </w:r>
    </w:p>
    <w:p>
      <w:pPr>
        <w:pStyle w:val="FirstParagraph"/>
      </w:pPr>
      <w:r>
        <w:t xml:space="preserve">Голографічний QEC. Кодова відстань із поверхні RT. Обмежено стадією k = 4. «N = 6 з вимірності коду HaPPY» v1 видалено.</w:t>
      </w:r>
    </w:p>
    <w:bookmarkEnd w:id="33"/>
    <w:bookmarkStart w:id="34" w:name="lgt-вілсон-1974"/>
    <w:p>
      <w:pPr>
        <w:pStyle w:val="Heading3"/>
      </w:pPr>
      <w:r>
        <w:t xml:space="preserve">1.12 LGT — Вілсон (1974)</w:t>
      </w:r>
    </w:p>
    <w:p>
      <w:pPr>
        <w:pStyle w:val="FirstParagraph"/>
      </w:pPr>
      <w:r>
        <w:t xml:space="preserve">Обчислювальний двигун. Монте-Карло для інтеграла по шляхах CDT, спектральної дії SSM, конденсату GFT, ферміонного пропагатора. Структурно незамінне; емпірично невидиме.</w:t>
      </w:r>
    </w:p>
    <w:bookmarkEnd w:id="34"/>
    <w:bookmarkEnd w:id="35"/>
    <w:bookmarkEnd w:id="36"/>
    <w:bookmarkStart w:id="40" w:name="три-альтернативні-замінні-гілки"/>
    <w:p>
      <w:pPr>
        <w:pStyle w:val="Heading1"/>
      </w:pPr>
      <w:r>
        <w:t xml:space="preserve">2. Три альтернативні замінні гілки</w:t>
      </w:r>
    </w:p>
    <w:bookmarkStart w:id="37" w:name="cst-cdt-бомбеллі-лі-меєр-соркін-1987"/>
    <w:p>
      <w:pPr>
        <w:pStyle w:val="Heading2"/>
      </w:pPr>
      <w:r>
        <w:t xml:space="preserve">2.1 CST ↔ CDT — Бомбеллі, Лі, Меєр &amp; Соркін (1987)</w:t>
      </w:r>
    </w:p>
    <w:p>
      <w:pPr>
        <w:pStyle w:val="FirstParagraph"/>
      </w:pPr>
      <w:r>
        <w:t xml:space="preserve">Простір-час як локально скінченний посет. Λ ~ 1/√N з Пуассонового підрахунку. Природно підходить для локальних/асинхронних редукцій v7.3: причинні множини вміщують локально змінну вимірність через варіацію щільності посету. Змінити на CST, коли C-фаза CDT зазнає невдачі або симуляції змішаної вимірності стають нерозв’язними. Група калібрування з DA/O. Вигоди: C₀ з підрахунку Соркіна. Втрати: S₅, BZ, фононна картина.</w:t>
      </w:r>
    </w:p>
    <w:bookmarkEnd w:id="37"/>
    <w:bookmarkStart w:id="38" w:name="eg-cdt-tn-якобсон-1995-верлінде-20112017"/>
    <w:p>
      <w:pPr>
        <w:pStyle w:val="Heading2"/>
      </w:pPr>
      <w:r>
        <w:t xml:space="preserve">2.2 EG ↔ CDT + TN — Якобсон (1995), Верлінде (2011/2017)</w:t>
      </w:r>
    </w:p>
    <w:p>
      <w:pPr>
        <w:pStyle w:val="FirstParagraph"/>
      </w:pPr>
      <w:r>
        <w:t xml:space="preserve">Рівняння Ейнштейна з δQ = TdS на горизонтах. MOND з ентропії заплутаності де Сіттера. Підтвердження локального a₀ → Мілгром якорить і в територію EG, і в CCDR. Змінити на EG, коли CDT + TN не продукує гравітації. Вигоди: природне виведення MOND. Втрати: мікроскопічна геометрія.</w:t>
      </w:r>
    </w:p>
    <w:bookmarkEnd w:id="38"/>
    <w:bookmarkStart w:id="39" w:name="cfs-cdt-фінстер-2006"/>
    <w:p>
      <w:pPr>
        <w:pStyle w:val="Heading2"/>
      </w:pPr>
      <w:r>
        <w:t xml:space="preserve">2.3 CFS ↔ CDT — Фінстер (2006)</w:t>
      </w:r>
    </w:p>
    <w:p>
      <w:pPr>
        <w:pStyle w:val="FirstParagraph"/>
      </w:pPr>
      <w:r>
        <w:t xml:space="preserve">Простір-час з операторної міри у гільбертовому просторі. Ейнштейн + Дірак з єдиного варіаційного принципу. Найбільш гнучка гілка для локальних/асинхронних редукцій v7.3. Змінити на CFS, коли дискретність CDT неправильна, але причинність збережена.</w:t>
      </w:r>
    </w:p>
    <w:bookmarkEnd w:id="39"/>
    <w:bookmarkEnd w:id="40"/>
    <w:bookmarkStart w:id="41" w:name="таблиця-замін"/>
    <w:p>
      <w:pPr>
        <w:pStyle w:val="Heading1"/>
      </w:pPr>
      <w:r>
        <w:t xml:space="preserve">3. Таблиця замін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Первинна зазнає невдачі</w:t>
            </w:r>
          </w:p>
        </w:tc>
        <w:tc>
          <w:tcPr/>
          <w:p>
            <w:pPr>
              <w:pStyle w:val="Compact"/>
              <w:jc w:val="left"/>
            </w:pPr>
            <w:r>
              <w:t xml:space="preserve">Змінити на</w:t>
            </w:r>
          </w:p>
        </w:tc>
        <w:tc>
          <w:tcPr/>
          <w:p>
            <w:pPr>
              <w:pStyle w:val="Compact"/>
              <w:jc w:val="left"/>
            </w:pPr>
            <w:r>
              <w:t xml:space="preserve">CCDR виживає?</w:t>
            </w:r>
          </w:p>
        </w:tc>
        <w:tc>
          <w:tcPr/>
          <w:p>
            <w:pPr>
              <w:pStyle w:val="Compact"/>
              <w:jc w:val="left"/>
            </w:pPr>
            <w:r>
              <w:t xml:space="preserve">Що змінюється</w:t>
            </w:r>
          </w:p>
        </w:tc>
      </w:tr>
      <w:tr>
        <w:tc>
          <w:tcPr/>
          <w:p>
            <w:pPr>
              <w:pStyle w:val="Compact"/>
              <w:jc w:val="left"/>
            </w:pPr>
            <w:r>
              <w:t xml:space="preserve">CDT → CST</w:t>
            </w:r>
          </w:p>
        </w:tc>
        <w:tc>
          <w:tcPr/>
          <w:p>
            <w:pPr>
              <w:pStyle w:val="Compact"/>
              <w:jc w:val="left"/>
            </w:pPr>
            <w:r>
              <w:t xml:space="preserve">CST</w:t>
            </w:r>
          </w:p>
        </w:tc>
        <w:tc>
          <w:tcPr/>
          <w:p>
            <w:pPr>
              <w:pStyle w:val="Compact"/>
              <w:jc w:val="left"/>
            </w:pPr>
            <w:r>
              <w:t xml:space="preserve">Так</w:t>
            </w:r>
          </w:p>
        </w:tc>
        <w:tc>
          <w:tcPr/>
          <w:p>
            <w:pPr>
              <w:pStyle w:val="Compact"/>
              <w:jc w:val="left"/>
            </w:pPr>
            <w:r>
              <w:t xml:space="preserve">Група калібрування з DA/O; Λ з Соркіна; втрачаємо BZ/фонон</w:t>
            </w:r>
          </w:p>
        </w:tc>
      </w:tr>
      <w:tr>
        <w:tc>
          <w:tcPr/>
          <w:p>
            <w:pPr>
              <w:pStyle w:val="Compact"/>
              <w:jc w:val="left"/>
            </w:pPr>
            <w:r>
              <w:t xml:space="preserve">CDT → CFS</w:t>
            </w:r>
          </w:p>
        </w:tc>
        <w:tc>
          <w:tcPr/>
          <w:p>
            <w:pPr>
              <w:pStyle w:val="Compact"/>
              <w:jc w:val="left"/>
            </w:pPr>
            <w:r>
              <w:t xml:space="preserve">CFS</w:t>
            </w:r>
          </w:p>
        </w:tc>
        <w:tc>
          <w:tcPr/>
          <w:p>
            <w:pPr>
              <w:pStyle w:val="Compact"/>
              <w:jc w:val="left"/>
            </w:pPr>
            <w:r>
              <w:t xml:space="preserve">Так (переінтерпретовано)</w:t>
            </w:r>
          </w:p>
        </w:tc>
        <w:tc>
          <w:tcPr/>
          <w:p>
            <w:pPr>
              <w:pStyle w:val="Compact"/>
              <w:jc w:val="left"/>
            </w:pPr>
            <w:r>
              <w:t xml:space="preserve">Ейнштейн+Дірак об’єднані; втрачаємо симплексну ґратку</w:t>
            </w:r>
          </w:p>
        </w:tc>
      </w:tr>
      <w:tr>
        <w:tc>
          <w:tcPr/>
          <w:p>
            <w:pPr>
              <w:pStyle w:val="Compact"/>
              <w:jc w:val="left"/>
            </w:pPr>
            <w:r>
              <w:t xml:space="preserve">CDT+TN → EG</w:t>
            </w:r>
          </w:p>
        </w:tc>
        <w:tc>
          <w:tcPr/>
          <w:p>
            <w:pPr>
              <w:pStyle w:val="Compact"/>
              <w:jc w:val="left"/>
            </w:pPr>
            <w:r>
              <w:t xml:space="preserve">EG</w:t>
            </w:r>
          </w:p>
        </w:tc>
        <w:tc>
          <w:tcPr/>
          <w:p>
            <w:pPr>
              <w:pStyle w:val="Compact"/>
              <w:jc w:val="left"/>
            </w:pPr>
            <w:r>
              <w:t xml:space="preserve">Так</w:t>
            </w:r>
          </w:p>
        </w:tc>
        <w:tc>
          <w:tcPr/>
          <w:p>
            <w:pPr>
              <w:pStyle w:val="Compact"/>
              <w:jc w:val="left"/>
            </w:pPr>
            <w:r>
              <w:t xml:space="preserve">Гравітація від Якобсона; MOND від Верлінде</w:t>
            </w:r>
          </w:p>
        </w:tc>
      </w:tr>
      <w:tr>
        <w:tc>
          <w:tcPr/>
          <w:p>
            <w:pPr>
              <w:pStyle w:val="Compact"/>
              <w:jc w:val="left"/>
            </w:pPr>
            <w:r>
              <w:t xml:space="preserve">GFT зазнає невдачі</w:t>
            </w:r>
          </w:p>
        </w:tc>
        <w:tc>
          <w:tcPr/>
          <w:p>
            <w:pPr>
              <w:pStyle w:val="Compact"/>
              <w:jc w:val="left"/>
            </w:pPr>
            <w:r>
              <w:t xml:space="preserve">—</w:t>
            </w:r>
          </w:p>
        </w:tc>
        <w:tc>
          <w:tcPr/>
          <w:p>
            <w:pPr>
              <w:pStyle w:val="Compact"/>
              <w:jc w:val="left"/>
            </w:pPr>
            <w:r>
              <w:t xml:space="preserve">Так</w:t>
            </w:r>
          </w:p>
        </w:tc>
        <w:tc>
          <w:tcPr/>
          <w:p>
            <w:pPr>
              <w:pStyle w:val="Compact"/>
              <w:jc w:val="left"/>
            </w:pPr>
            <w:r>
              <w:t xml:space="preserve">ν повертається до параметра підгонки RVM</w:t>
            </w:r>
          </w:p>
        </w:tc>
      </w:tr>
      <w:tr>
        <w:tc>
          <w:tcPr/>
          <w:p>
            <w:pPr>
              <w:pStyle w:val="Compact"/>
              <w:jc w:val="left"/>
            </w:pPr>
            <w:r>
              <w:t xml:space="preserve">SSM зазнає невдачі</w:t>
            </w:r>
          </w:p>
        </w:tc>
        <w:tc>
          <w:tcPr/>
          <w:p>
            <w:pPr>
              <w:pStyle w:val="Compact"/>
              <w:jc w:val="left"/>
            </w:pPr>
            <w:r>
              <w:t xml:space="preserve">—</w:t>
            </w:r>
          </w:p>
        </w:tc>
        <w:tc>
          <w:tcPr/>
          <w:p>
            <w:pPr>
              <w:pStyle w:val="Compact"/>
              <w:jc w:val="left"/>
            </w:pPr>
            <w:r>
              <w:t xml:space="preserve">Так</w:t>
            </w:r>
          </w:p>
        </w:tc>
        <w:tc>
          <w:tcPr/>
          <w:p>
            <w:pPr>
              <w:pStyle w:val="Compact"/>
              <w:jc w:val="left"/>
            </w:pPr>
            <w:r>
              <w:t xml:space="preserve">Група калібрування лише з DA/O</w:t>
            </w:r>
          </w:p>
        </w:tc>
      </w:tr>
      <w:tr>
        <w:tc>
          <w:tcPr/>
          <w:p>
            <w:pPr>
              <w:pStyle w:val="Compact"/>
              <w:jc w:val="left"/>
            </w:pPr>
            <w:r>
              <w:t xml:space="preserve">Ядро CCDR зазнає невдачі</w:t>
            </w:r>
          </w:p>
        </w:tc>
        <w:tc>
          <w:tcPr/>
          <w:p>
            <w:pPr>
              <w:pStyle w:val="Compact"/>
              <w:jc w:val="left"/>
            </w:pPr>
            <w:r>
              <w:t xml:space="preserve">—</w:t>
            </w:r>
          </w:p>
        </w:tc>
        <w:tc>
          <w:tcPr/>
          <w:p>
            <w:pPr>
              <w:pStyle w:val="Compact"/>
              <w:jc w:val="left"/>
            </w:pPr>
            <w:r>
              <w:t xml:space="preserve">Всі виживають незалежно</w:t>
            </w:r>
          </w:p>
        </w:tc>
        <w:tc>
          <w:tcPr/>
          <w:p>
            <w:pPr>
              <w:pStyle w:val="Compact"/>
              <w:jc w:val="left"/>
            </w:pPr>
            <w:r>
              <w:t xml:space="preserve">Втрачається лише кристалографічна інтерпретація</w:t>
            </w:r>
          </w:p>
        </w:tc>
      </w:tr>
    </w:tbl>
    <w:bookmarkEnd w:id="41"/>
    <w:bookmarkStart w:id="44" w:name="повний-ланцюг-рівнянь"/>
    <w:p>
      <w:pPr>
        <w:pStyle w:val="Heading1"/>
      </w:pPr>
      <w:r>
        <w:t xml:space="preserve">4. Повний ланцюг рівнянь</w:t>
      </w:r>
    </w:p>
    <w:p>
      <w:pPr>
        <w:pStyle w:val="FirstParagraph"/>
      </w:pPr>
      <w:r>
        <w:t xml:space="preserve">CDT-симплекси → S₅ → D_CDT → Tr(f(D/Λ)) = L_SM [SSM] → перехресна перевірка: C ⊗ H ⊗ O → та сама група калібрування [DA/O] → G</w:t>
      </w:r>
      <w:r>
        <w:rPr>
          <w:iCs/>
          <w:i/>
        </w:rPr>
        <w:t xml:space="preserve">, α</w:t>
      </w:r>
      <w:r>
        <w:t xml:space="preserve"> </w:t>
      </w:r>
      <w:r>
        <w:t xml:space="preserve">[AS] → RG-біг → α = 1/137 [LGT] → TN, D_eff → e^{1/4} [TN] → конденсат GFT → ν [TGFT-RG] → хіральна амплітуда EPRL → f_geo → збіжність γ [TGFT-RG] → ρ_vac(H) [RVM] → χ → 1, кристалічна нуклеація [CCDR] → PQ → EW → QCD = AQN [каскад кристалізації] → η ~ ν × δ_CP × f_geo ~ 10⁻¹⁰ [всі системи] → HaPPY QEC → BAO (δr</w:t>
      </w:r>
      <w:r>
        <w:rPr>
          <w:iCs/>
          <w:i/>
        </w:rPr>
        <w:t xml:space="preserve">/r</w:t>
      </w:r>
      <w:r>
        <w:t xml:space="preserve"> </w:t>
      </w:r>
      <w:r>
        <w:t xml:space="preserve">~ ν/2) → MOND (a₀ → Мілгром локально, → cH₀ асимптотично) → dS-випаровування в об’єм [CCDR/RVM]</w:t>
      </w:r>
    </w:p>
    <w:p>
      <w:pPr>
        <w:pStyle w:val="BodyText"/>
      </w:pPr>
      <w:r>
        <w:t xml:space="preserve">Кожна ланка обчислювана. Кожне передбачення фальсифікованим. Голографічний принцип не постулюється — він виникає зі структури заплутаності ансамблю CDT у напівкласичному режимі.</w:t>
      </w:r>
    </w:p>
    <w:bookmarkStart w:id="42" w:name="фундаментальні-обмеження"/>
    <w:p>
      <w:pPr>
        <w:pStyle w:val="Heading2"/>
      </w:pPr>
      <w:r>
        <w:t xml:space="preserve">4.1 Фундаментальні обмеження</w:t>
      </w:r>
    </w:p>
    <w:p>
      <w:pPr>
        <w:pStyle w:val="FirstParagraph"/>
      </w:pPr>
      <w:r>
        <w:t xml:space="preserve">Система забороняє передавання інформації FTL (наслідок голографічної межі S ≤ A/4G) і поважає термодинамічну спрямованість часу (наслідок монотонного охолодження RVM). Це передбачення, а не припущення. CDT забезпечує причинне шарування на мікроскопічному рівні, унеможливлюючи замкнені часоподібні криві.</w:t>
      </w:r>
    </w:p>
    <w:bookmarkEnd w:id="42"/>
    <w:bookmarkStart w:id="43" w:name="X62b6052b8efb92792c14115b140347a594d6af6"/>
    <w:p>
      <w:pPr>
        <w:pStyle w:val="Heading2"/>
      </w:pPr>
      <w:r>
        <w:t xml:space="preserve">4.2 Застереження щодо редукуючого об’єму — імовірнісно-зважене (розширене у v3.3)</w:t>
      </w:r>
    </w:p>
    <w:p>
      <w:pPr>
        <w:pStyle w:val="FirstParagraph"/>
      </w:pPr>
      <w:r>
        <w:t xml:space="preserve">Картина каскадного залишку припускає, що всі об’ємні види були присутні у конкретному об’ємі, що пройшов редукцію у нашій ділянці. Це не гарантовано. Підрахунок піків дає N лише за повного відбору; порушення проявлялися б як аномально низьке Ω_DM/Ω_B, просторові ділянки з різним складом DM або розбіжності між N від підрахунку піків і N від групи калібрування.</w:t>
      </w:r>
    </w:p>
    <w:p>
      <w:pPr>
        <w:pStyle w:val="BodyText"/>
      </w:pPr>
      <w:r>
        <w:t xml:space="preserve">У v3.3 (простежуючи §4.5 CCDR v7.3) застереження кількісно уточнене: види, що походять зі стадії k, мають імовірність присутності</w:t>
      </w:r>
    </w:p>
    <w:p>
      <w:pPr>
        <w:pStyle w:val="BodyText"/>
      </w:pPr>
      <w:r>
        <w:t xml:space="preserve">P_presence(k) ~ (r_k / L_k)^{k−4}</w:t>
      </w:r>
    </w:p>
    <w:p>
      <w:pPr>
        <w:pStyle w:val="BodyText"/>
      </w:pPr>
      <w:r>
        <w:t xml:space="preserve">де r_k — радіус компактифікації на редукції k → k−1, L_k — масштаб розподілу виду у (k−4)-вимірному додатковому просторі на той момент.</w:t>
      </w:r>
      <w:r>
        <w:t xml:space="preserve"> </w:t>
      </w:r>
      <w:r>
        <w:rPr>
          <w:bCs/>
          <w:b/>
        </w:rPr>
        <w:t xml:space="preserve">Види з вищого вимірного походження мають систематично нижчу ймовірність присутності у нашій ділянці, бо на ранніших стадіях наша ділянка займала меншу частину тодішнього більшого об’єму.</w:t>
      </w:r>
      <w:r>
        <w:t xml:space="preserve"> </w:t>
      </w:r>
      <w:r>
        <w:t xml:space="preserve">Очікуване число спостережуваних піків E[n_peaks] = Σ_k P_presence(k), загалом менше ніж N − 4 та скошене до легкого кінця башти.</w:t>
      </w:r>
    </w:p>
    <w:bookmarkEnd w:id="43"/>
    <w:bookmarkEnd w:id="44"/>
    <w:bookmarkStart w:id="51" w:name="пятишарова-ієрархія-фальсифікованості"/>
    <w:p>
      <w:pPr>
        <w:pStyle w:val="Heading1"/>
      </w:pPr>
      <w:r>
        <w:t xml:space="preserve">5. П’ятишарова ієрархія фальсифікованості</w:t>
      </w:r>
    </w:p>
    <w:bookmarkStart w:id="45" w:name="шар-0-cdt-ядро-каскаду"/>
    <w:p>
      <w:pPr>
        <w:pStyle w:val="Heading2"/>
      </w:pPr>
      <w:r>
        <w:t xml:space="preserve">Шар 0 — CDT + ядро каскаду</w:t>
      </w:r>
    </w:p>
    <w:p>
      <w:pPr>
        <w:pStyle w:val="FirstParagraph"/>
      </w:pPr>
      <w:r>
        <w:t xml:space="preserve">Мікроскопічна геометрія (симплексний інтеграл CDT) та структура каскадної редукції. Фальсифікація: C-фаза CDT відсутня, або підрахунок піків прямої детекції повертає негеометричні відношення мас, або підрахунок піків нульовий у очікуваному масовому вікні</w:t>
      </w:r>
      <w:r>
        <w:t xml:space="preserve"> </w:t>
      </w:r>
      <w:r>
        <w:rPr>
          <w:bCs/>
          <w:b/>
        </w:rPr>
        <w:t xml:space="preserve">нижче імовірнісно-зваженої нижньої межі E[n_peaks]</w:t>
      </w:r>
      <w:r>
        <w:t xml:space="preserve">. Вихід на CST або CFS.</w:t>
      </w:r>
      <w:r>
        <w:t xml:space="preserve"> </w:t>
      </w:r>
      <w:r>
        <w:rPr>
          <w:iCs/>
          <w:i/>
        </w:rPr>
        <w:t xml:space="preserve">Поточний статус:</w:t>
      </w:r>
      <w:r>
        <w:t xml:space="preserve"> </w:t>
      </w:r>
      <w:r>
        <w:rPr>
          <w:bCs/>
          <w:b/>
        </w:rPr>
        <w:t xml:space="preserve">не перевірено.</w:t>
      </w:r>
      <w:r>
        <w:t xml:space="preserve"> </w:t>
      </w:r>
      <w:r>
        <w:t xml:space="preserve">Аудит готовності 4-го раунду: 82 ресурси, 126 таблиць, нуль у вікні 0.5–3 ТеВ. hard_core_ready_now = False.</w:t>
      </w:r>
    </w:p>
    <w:bookmarkEnd w:id="45"/>
    <w:bookmarkStart w:id="46" w:name="шар-1-gft-tgft-rg"/>
    <w:p>
      <w:pPr>
        <w:pStyle w:val="Heading2"/>
      </w:pPr>
      <w:r>
        <w:t xml:space="preserve">Шар 1 — GFT + TGFT-RG</w:t>
      </w:r>
    </w:p>
    <w:p>
      <w:pPr>
        <w:pStyle w:val="FirstParagraph"/>
      </w:pPr>
      <w:r>
        <w:t xml:space="preserve">Конденсат групової теорії поля та його уілсонівська ренормалізаційна група. Фальсифікація: ν з IR фіксованої точки TGFT-RG суперечить емпіричному ν; γ_AS ≠ γ_EPRL на будь-якій стадії; нестабільність конденсату.</w:t>
      </w:r>
      <w:r>
        <w:t xml:space="preserve"> </w:t>
      </w:r>
      <w:r>
        <w:rPr>
          <w:iCs/>
          <w:i/>
        </w:rPr>
        <w:t xml:space="preserve">Поточний статус:</w:t>
      </w:r>
      <w:r>
        <w:t xml:space="preserve"> </w:t>
      </w:r>
      <w:r>
        <w:t xml:space="preserve">аудит ν закрито на 10⁻³–10⁻², центральне значення імовірно систематика SN при низьких z. Поетапна Бар–Штайнгауса розблокована, ще не виконана.</w:t>
      </w:r>
    </w:p>
    <w:bookmarkEnd w:id="46"/>
    <w:bookmarkStart w:id="47" w:name="шар-2-tn-happy"/>
    <w:p>
      <w:pPr>
        <w:pStyle w:val="Heading2"/>
      </w:pPr>
      <w:r>
        <w:t xml:space="preserve">Шар 2 — TN + HaPPY</w:t>
      </w:r>
    </w:p>
    <w:p>
      <w:pPr>
        <w:pStyle w:val="FirstParagraph"/>
      </w:pPr>
      <w:r>
        <w:t xml:space="preserve">Реалізація тензорної мережі голографічних законів площі та квантового коду виправлення помилок. Фальсифікація: формула RT не працює у C-фазі CDT; D_eff ≠ e^{1/4} на IR фіксованій точці k = 4. Вихід на EG, якщо голографічна структура відсутня.</w:t>
      </w:r>
      <w:r>
        <w:t xml:space="preserve"> </w:t>
      </w:r>
      <w:r>
        <w:rPr>
          <w:iCs/>
          <w:i/>
        </w:rPr>
        <w:t xml:space="preserve">Поточний статус:</w:t>
      </w:r>
      <w:r>
        <w:t xml:space="preserve"> </w:t>
      </w:r>
      <w:r>
        <w:t xml:space="preserve">не перевірено.</w:t>
      </w:r>
    </w:p>
    <w:bookmarkEnd w:id="47"/>
    <w:bookmarkStart w:id="48" w:name="шар-3-ssm-as-dao"/>
    <w:p>
      <w:pPr>
        <w:pStyle w:val="Heading2"/>
      </w:pPr>
      <w:r>
        <w:t xml:space="preserve">Шар 3 — SSM + AS + DA/O</w:t>
      </w:r>
    </w:p>
    <w:p>
      <w:pPr>
        <w:pStyle w:val="FirstParagraph"/>
      </w:pPr>
      <w:r>
        <w:t xml:space="preserve">Спектральна дія, асимптотична безпека, група калібрування з алгебри розділення. Фальсифікація: лагранжіан SM зі спектральної дії несумісний зі спостережуваними константами зв’язку на будь-якому масштабі біжучості; група калібрування з DA/O неправильна.</w:t>
      </w:r>
      <w:r>
        <w:t xml:space="preserve"> </w:t>
      </w:r>
      <w:r>
        <w:rPr>
          <w:iCs/>
          <w:i/>
        </w:rPr>
        <w:t xml:space="preserve">Поточний статус:</w:t>
      </w:r>
      <w:r>
        <w:t xml:space="preserve"> </w:t>
      </w:r>
      <w:r>
        <w:t xml:space="preserve">узгоджено з даними. Нове структурне зобов’язання: секторо-залежні масштаби кристалізації для Коіде (спільного масштабу немає, відстань 0.232).</w:t>
      </w:r>
    </w:p>
    <w:bookmarkEnd w:id="48"/>
    <w:bookmarkStart w:id="49" w:name="шар-4-rvm-ccdr"/>
    <w:p>
      <w:pPr>
        <w:pStyle w:val="Heading2"/>
      </w:pPr>
      <w:r>
        <w:t xml:space="preserve">Шар 4 — RVM + CCDR</w:t>
      </w:r>
    </w:p>
    <w:p>
      <w:pPr>
        <w:pStyle w:val="FirstParagraph"/>
      </w:pPr>
      <w:r>
        <w:t xml:space="preserve">Модель біжучого вакууму та кристалографічна інтерпретація CCDR. Фальсифікація: ν &lt; 0 (вакуум посилюється з розширенням); χ → 1 не запускає жодної редукції у жодній симуляції CDT; усі периферійні передбачення одночасно зазнають невдачі; три незалежні вилучача ν (CL1–CL3, §14) розходяться поза систематичною толерантністю.</w:t>
      </w:r>
      <w:r>
        <w:t xml:space="preserve"> </w:t>
      </w:r>
      <w:r>
        <w:rPr>
          <w:iCs/>
          <w:i/>
        </w:rPr>
        <w:t xml:space="preserve">Поточний статус:</w:t>
      </w:r>
      <w:r>
        <w:t xml:space="preserve"> </w:t>
      </w:r>
      <w:r>
        <w:t xml:space="preserve">частково підтверджено. a₀ → Мілгром (надійно). Щільнісно-κ кореляція (на користь, +12.99σ, очікує реплікації). Високо-z a₀ тренд (на користь, малий зразок). Кілька відкликань (P3 Темпель, P7-ext, P9a, P9c).</w:t>
      </w:r>
    </w:p>
    <w:bookmarkEnd w:id="49"/>
    <w:bookmarkStart w:id="50" w:name="шар-5-бариогенез"/>
    <w:p>
      <w:pPr>
        <w:pStyle w:val="Heading2"/>
      </w:pPr>
      <w:r>
        <w:t xml:space="preserve">Шар 5 — Бариогенез</w:t>
      </w:r>
    </w:p>
    <w:p>
      <w:pPr>
        <w:pStyle w:val="FirstParagraph"/>
      </w:pPr>
      <w:r>
        <w:t xml:space="preserve">η ~ ν × δ_CP × f_geo ~ 10⁻¹⁰. Фальсифікація: η помилкове на порядки величини, коли всі три множники виміряно незалежно.</w:t>
      </w:r>
      <w:r>
        <w:t xml:space="preserve"> </w:t>
      </w:r>
      <w:r>
        <w:rPr>
          <w:iCs/>
          <w:i/>
        </w:rPr>
        <w:t xml:space="preserve">Поточний статус:</w:t>
      </w:r>
      <w:r>
        <w:t xml:space="preserve"> </w:t>
      </w:r>
      <w:r>
        <w:t xml:space="preserve">бейлпаркно узгоджено; прецизійного тесту немає.</w:t>
      </w:r>
    </w:p>
    <w:p>
      <w:pPr>
        <w:pStyle w:val="BodyText"/>
      </w:pPr>
      <w:r>
        <w:rPr>
          <w:bCs/>
          <w:b/>
        </w:rPr>
        <w:t xml:space="preserve">Жоден шар не сфальсифіковано.</w:t>
      </w:r>
      <w:r>
        <w:t xml:space="preserve"> </w:t>
      </w:r>
      <w:r>
        <w:t xml:space="preserve">Ядро каскаду залишається діагностичним тестом; його результат одночасно вирішить Шари 0, 1, 4.</w:t>
      </w:r>
    </w:p>
    <w:bookmarkEnd w:id="50"/>
    <w:bookmarkEnd w:id="51"/>
    <w:bookmarkStart w:id="61" w:name="девять-шляхів-розвязання"/>
    <w:p>
      <w:pPr>
        <w:pStyle w:val="Heading1"/>
      </w:pPr>
      <w:r>
        <w:t xml:space="preserve">6. Дев’ять шляхів розв’язання</w:t>
      </w:r>
    </w:p>
    <w:p>
      <w:pPr>
        <w:pStyle w:val="FirstParagraph"/>
      </w:pPr>
      <w:r>
        <w:t xml:space="preserve">Залишається дев’ять відкритих проблем. Для кожної існуюча зовнішня система надає шлях розв’язання. Шість було зареєстровано у v3.2; три додано у v3.3.</w:t>
      </w:r>
    </w:p>
    <w:bookmarkStart w:id="52" w:name="X869bab5a1feb756b70c7e8a26a44e8f5c33648b"/>
    <w:p>
      <w:pPr>
        <w:pStyle w:val="Heading2"/>
      </w:pPr>
      <w:r>
        <w:t xml:space="preserve">Шлях 1 — Свемплендівська гіпотеза відстаней → таймінг каскаду</w:t>
      </w:r>
    </w:p>
    <w:p>
      <w:pPr>
        <w:pStyle w:val="FirstParagraph"/>
      </w:pPr>
      <w:r>
        <w:t xml:space="preserve">Обмежує функцію таймінгу f(t), що відображає охолодження RVM на радіуси компактифікації R_k = c/H_k. Свемплендівська гіпотеза де Сіттера обмежує |dρ_vac/dH|/ρ_vac ≥ c_swamp/M_pl, що обмежує ν та, отже, таймінг каскаду.</w:t>
      </w:r>
      <w:r>
        <w:t xml:space="preserve"> </w:t>
      </w:r>
      <w:r>
        <w:rPr>
          <w:iCs/>
          <w:i/>
        </w:rPr>
        <w:t xml:space="preserve">Статус:</w:t>
      </w:r>
      <w:r>
        <w:t xml:space="preserve"> </w:t>
      </w:r>
      <w:r>
        <w:t xml:space="preserve">розблоковано (ν емпірично обмежене); терміновість пом’якшена ймовірним систематичним характером ν.</w:t>
      </w:r>
      <w:r>
        <w:t xml:space="preserve"> </w:t>
      </w:r>
      <w:r>
        <w:rPr>
          <w:iCs/>
          <w:i/>
        </w:rPr>
        <w:t xml:space="preserve">Таймлайн:</w:t>
      </w:r>
      <w:r>
        <w:t xml:space="preserve"> </w:t>
      </w:r>
      <w:r>
        <w:t xml:space="preserve">1–2 роки.</w:t>
      </w:r>
    </w:p>
    <w:bookmarkEnd w:id="52"/>
    <w:bookmarkStart w:id="53" w:name="X327032687ed1853bc289eb87e1e32aba033dca5"/>
    <w:p>
      <w:pPr>
        <w:pStyle w:val="Heading2"/>
      </w:pPr>
      <w:r>
        <w:t xml:space="preserve">Шлях 2 — Дискретні флейворні симетрії → нейтринна ієрархія</w:t>
      </w:r>
    </w:p>
    <w:p>
      <w:pPr>
        <w:pStyle w:val="FirstParagraph"/>
      </w:pPr>
      <w:r>
        <w:t xml:space="preserve">Гексагональна BZ має симетрію C₃, що пов’язує три покоління. Якщо масова матриця нейтрино поважає C₃ (трибімаксимальне змішування), ієрархія нормальна. Якщо C₃ порушена до C₂, ієрархія може бути інверсною. Потребує сектора see-saw SSM на C-фазі CDT із гексагональною BZ.</w:t>
      </w:r>
      <w:r>
        <w:t xml:space="preserve"> </w:t>
      </w:r>
      <w:r>
        <w:rPr>
          <w:iCs/>
          <w:i/>
        </w:rPr>
        <w:t xml:space="preserve">Таймлайн:</w:t>
      </w:r>
      <w:r>
        <w:t xml:space="preserve"> </w:t>
      </w:r>
      <w:r>
        <w:t xml:space="preserve">2–5 років.</w:t>
      </w:r>
    </w:p>
    <w:bookmarkEnd w:id="53"/>
    <w:bookmarkStart w:id="54" w:name="Xba3fbbe097c576a47cf03c5fabbad12ea3f335c"/>
    <w:p>
      <w:pPr>
        <w:pStyle w:val="Heading2"/>
      </w:pPr>
      <w:r>
        <w:t xml:space="preserve">Шлях 3 — Підрахунок Соркіна CST + Гартл–Гокінг на CDT → C₀</w:t>
      </w:r>
    </w:p>
    <w:p>
      <w:pPr>
        <w:pStyle w:val="FirstParagraph"/>
      </w:pPr>
      <w:r>
        <w:t xml:space="preserve">Для N ~ 10¹²² елементів причинної множини Λ ~ 10⁻¹²² M⁴_pl. Поєднати з кристалічною структурою CDT для поправкового множника. Альтернатива: унімодулярна гравітація (C₀ як константа інтегрування). Альтернатива: HH без меж на CDT обирає сідлову геометрію, чиє дієве визначає C₀.</w:t>
      </w:r>
      <w:r>
        <w:t xml:space="preserve"> </w:t>
      </w:r>
      <w:r>
        <w:rPr>
          <w:iCs/>
          <w:i/>
        </w:rPr>
        <w:t xml:space="preserve">Таймлайн:</w:t>
      </w:r>
      <w:r>
        <w:t xml:space="preserve"> </w:t>
      </w:r>
      <w:r>
        <w:t xml:space="preserve">3–5 років.</w:t>
      </w:r>
    </w:p>
    <w:bookmarkEnd w:id="54"/>
    <w:bookmarkStart w:id="55" w:name="Xb852b87110e5c99f6694e78d20739e8875347f0"/>
    <w:p>
      <w:pPr>
        <w:pStyle w:val="Heading2"/>
      </w:pPr>
      <w:r>
        <w:t xml:space="preserve">Шлях 4 — Алгебраїчна ренормалізація з оверлеп-діраком → сильне CP</w:t>
      </w:r>
    </w:p>
    <w:p>
      <w:pPr>
        <w:pStyle w:val="FirstParagraph"/>
      </w:pPr>
      <w:r>
        <w:t xml:space="preserve">Оверлеп оператора Дірака на CDT має точну хіральну симетрію (співвідношення Ґінспарґа–Вілсона). Якщо тотожність Славнова–Тейлора, що відповідає дійсності спектральної дії, безаномальна з оверлеп-оператором на CDT, то θ = 0 захищено на всіх рівнях петель. Сильніше за аксіонне розв’язання — нова частинка не потрібна.</w:t>
      </w:r>
      <w:r>
        <w:t xml:space="preserve"> </w:t>
      </w:r>
      <w:r>
        <w:rPr>
          <w:iCs/>
          <w:i/>
        </w:rPr>
        <w:t xml:space="preserve">Таймлайн:</w:t>
      </w:r>
      <w:r>
        <w:t xml:space="preserve"> </w:t>
      </w:r>
      <w:r>
        <w:t xml:space="preserve">3–7 років.</w:t>
      </w:r>
    </w:p>
    <w:bookmarkEnd w:id="55"/>
    <w:bookmarkStart w:id="56" w:name="X44e537691e976e2e943fc93ea492427973f6426"/>
    <w:p>
      <w:pPr>
        <w:pStyle w:val="Heading2"/>
      </w:pPr>
      <w:r>
        <w:t xml:space="preserve">Шлях 5 — Гравітаційний колапс Діосі–Пенроуза → квантове вимірювання</w:t>
      </w:r>
    </w:p>
    <w:p>
      <w:pPr>
        <w:pStyle w:val="FirstParagraph"/>
      </w:pPr>
      <w:r>
        <w:t xml:space="preserve">Колапс Пенроуза, коли гравітаційна самоенергія суперпозиції перевищує ℏ/τ. У CDT–CCDR: колапс кристалічного стану — коли суперпозиція включає дві розрізнимі кристалічні конфігурації, ґратка кристалізується в одну. τ_collapse ~ ℏ/(GΔM²/R). Для макроскопічних об’єктів τ ~ 10⁻³ с (миттєво); для одиничних атомів τ ~ 10²⁵ с (ніколи).</w:t>
      </w:r>
      <w:r>
        <w:t xml:space="preserve"> </w:t>
      </w:r>
      <w:r>
        <w:rPr>
          <w:iCs/>
          <w:i/>
        </w:rPr>
        <w:t xml:space="preserve">Таймлайн:</w:t>
      </w:r>
      <w:r>
        <w:t xml:space="preserve"> </w:t>
      </w:r>
      <w:r>
        <w:t xml:space="preserve">1–3 роки (теорія), 5–10 років (експеримент).</w:t>
      </w:r>
    </w:p>
    <w:bookmarkEnd w:id="56"/>
    <w:bookmarkStart w:id="57" w:name="Xf98bbf7e8786895e0dfc172b08a196f42406c1a"/>
    <w:p>
      <w:pPr>
        <w:pStyle w:val="Heading2"/>
      </w:pPr>
      <w:r>
        <w:t xml:space="preserve">Шлях 6 — RG спінової піни Бара–Штайнгауса → TGFT-RG для EPRL</w:t>
      </w:r>
    </w:p>
    <w:p>
      <w:pPr>
        <w:pStyle w:val="FirstParagraph"/>
      </w:pPr>
      <w:r>
        <w:t xml:space="preserve">Поетапне огрубіння для EPRL з використанням sl2cfoam-next. Вилучити бета-функції для констант GFT (m_GFT, λ_GFT, γ) з огрубіння. Ідентифікувати IR фіксовану точку: значення у фіксованій точці дають ν та збіжне γ</w:t>
      </w:r>
      <w:r>
        <w:rPr>
          <w:iCs/>
          <w:i/>
        </w:rPr>
        <w:t xml:space="preserve">. Передбачення v7.3: γ(k = 4) → 0.250; раніші стадії не мусять збігатися до того самого значення.</w:t>
      </w:r>
      <w:r>
        <w:rPr>
          <w:iCs/>
          <w:i/>
        </w:rPr>
        <w:t xml:space="preserve"> </w:t>
      </w:r>
      <w:r>
        <w:t xml:space="preserve">Статус:* розблоковано; терміновість пом’якшена.</w:t>
      </w:r>
      <w:r>
        <w:t xml:space="preserve"> </w:t>
      </w:r>
      <w:r>
        <w:rPr>
          <w:iCs/>
          <w:i/>
        </w:rPr>
        <w:t xml:space="preserve">Таймлайн:</w:t>
      </w:r>
      <w:r>
        <w:t xml:space="preserve"> </w:t>
      </w:r>
      <w:r>
        <w:t xml:space="preserve">2–3 роки.</w:t>
      </w:r>
    </w:p>
    <w:bookmarkEnd w:id="57"/>
    <w:bookmarkStart w:id="58" w:name="Xaadd64500fa6aa17ef79ac53e92c93dff8d6775"/>
    <w:p>
      <w:pPr>
        <w:pStyle w:val="Heading2"/>
      </w:pPr>
      <w:r>
        <w:t xml:space="preserve">Шлях 7 — Конформний бутстрап → універсальність C-фази CDT (нове у v3.3)</w:t>
      </w:r>
    </w:p>
    <w:p>
      <w:pPr>
        <w:pStyle w:val="FirstParagraph"/>
      </w:pPr>
      <w:r>
        <w:t xml:space="preserve">C-фаза CDT має d_s: 4 → 2 (§1.4). Якщо IR є CFT-подібним, бутстрап перехресної симетрії у стилі Сіммонса-Даффіна обмежує масштабні виміри без симплексної регуляризації. Закриває неявне відкрите питання про те, чи залежить потік d_s від регуляризації. Успішний бутстрап IR C-фази обійшов би поточні обмеження Монте-Карло на статистичний шум у вилученні масштабних вимірів і надав би регуляризаційно-незалежний якір для TGFT-RG (Шлях 6).</w:t>
      </w:r>
      <w:r>
        <w:t xml:space="preserve"> </w:t>
      </w:r>
      <w:r>
        <w:rPr>
          <w:iCs/>
          <w:i/>
        </w:rPr>
        <w:t xml:space="preserve">Таймлайн:</w:t>
      </w:r>
      <w:r>
        <w:t xml:space="preserve"> </w:t>
      </w:r>
      <w:r>
        <w:t xml:space="preserve">3–5 років.</w:t>
      </w:r>
    </w:p>
    <w:bookmarkEnd w:id="58"/>
    <w:bookmarkStart w:id="59" w:name="X2f25e669fdfe0b445a3fc6e7a42200db0690de4"/>
    <w:p>
      <w:pPr>
        <w:pStyle w:val="Heading2"/>
      </w:pPr>
      <w:r>
        <w:t xml:space="preserve">Шлях 8 — Квантовий симулятор → малий-N каскадний аналог (нове у v3.3)</w:t>
      </w:r>
    </w:p>
    <w:p>
      <w:pPr>
        <w:pStyle w:val="FirstParagraph"/>
      </w:pPr>
      <w:r>
        <w:t xml:space="preserve">Платформи холодних атомів або іонних пасток, що проєктують редуковану ефективну вимірність (2D → 1D через рампу обмеження), можуть протестувати механізм χ_k → 1 при малих N у лабораторії. Платформи, що вже демонструють пов’язану фізику вимірних перетинів, включають синтетично-вимірні ґратки холодних атомів та рампи обмеження Rydberg-масивів. Лабораторна сигнатура насичення χ протестувала б ядро механізму</w:t>
      </w:r>
      <w:r>
        <w:t xml:space="preserve"> </w:t>
      </w:r>
      <w:r>
        <w:rPr>
          <w:bCs/>
          <w:b/>
        </w:rPr>
        <w:t xml:space="preserve">не чекаючи на тоннажну пряму детекцію</w:t>
      </w:r>
      <w:r>
        <w:t xml:space="preserve">, обминаючи центральне вузьке місце у §14 CCDR.</w:t>
      </w:r>
      <w:r>
        <w:t xml:space="preserve"> </w:t>
      </w:r>
      <w:r>
        <w:rPr>
          <w:iCs/>
          <w:i/>
        </w:rPr>
        <w:t xml:space="preserve">Таймлайн:</w:t>
      </w:r>
      <w:r>
        <w:t xml:space="preserve"> </w:t>
      </w:r>
      <w:r>
        <w:t xml:space="preserve">3–7 років, з теоретичним дизайном аналога через 1–2 роки.</w:t>
      </w:r>
    </w:p>
    <w:bookmarkEnd w:id="59"/>
    <w:bookmarkStart w:id="60" w:name="X5f551e75cc08ded67c02cf8864acbeadc2286a1"/>
    <w:p>
      <w:pPr>
        <w:pStyle w:val="Heading2"/>
      </w:pPr>
      <w:r>
        <w:t xml:space="preserve">Шлях 9 — Діосі–Пенроуз × кількісне визначення редукуючого об’єму (нове у v3.3)</w:t>
      </w:r>
    </w:p>
    <w:p>
      <w:pPr>
        <w:pStyle w:val="FirstParagraph"/>
      </w:pPr>
      <w:r>
        <w:t xml:space="preserve">Масштаб колапсу Пенроуза (Шлях 5) надає гравітаційну довжину. Якщо редукуючі об’єми відбираються гравітаційно (об’єм, що редукується на кожній стадії, є об’ємом когерентності свого дорекомбінаційного кристалічного стану), то масштаб колапсу Діосі–Пенроуза обмежує просторовий масштаб, на якому варіюється релевантне для підрахунку піків N_effective. Закриває Відкриту проблему 10 (виведення L_k у §4.2 з перших принципів).</w:t>
      </w:r>
      <w:r>
        <w:t xml:space="preserve"> </w:t>
      </w:r>
      <w:r>
        <w:rPr>
          <w:iCs/>
          <w:i/>
        </w:rPr>
        <w:t xml:space="preserve">Таймлайн:</w:t>
      </w:r>
      <w:r>
        <w:t xml:space="preserve"> </w:t>
      </w:r>
      <w:r>
        <w:t xml:space="preserve">1–3 роки.</w:t>
      </w:r>
    </w:p>
    <w:bookmarkEnd w:id="60"/>
    <w:bookmarkEnd w:id="61"/>
    <w:bookmarkStart w:id="62" w:name="підсумок-шляхів-розвязання"/>
    <w:p>
      <w:pPr>
        <w:pStyle w:val="Heading1"/>
      </w:pPr>
      <w:r>
        <w:t xml:space="preserve">7. Підсумок шляхів розв’язання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Проблема</w:t>
            </w:r>
          </w:p>
        </w:tc>
        <w:tc>
          <w:tcPr/>
          <w:p>
            <w:pPr>
              <w:pStyle w:val="Compact"/>
              <w:jc w:val="left"/>
            </w:pPr>
            <w:r>
              <w:t xml:space="preserve">Шлях розв’язання</w:t>
            </w:r>
          </w:p>
        </w:tc>
        <w:tc>
          <w:tcPr/>
          <w:p>
            <w:pPr>
              <w:pStyle w:val="Compact"/>
              <w:jc w:val="left"/>
            </w:pPr>
            <w:r>
              <w:t xml:space="preserve">Таймлайн</w:t>
            </w:r>
          </w:p>
        </w:tc>
      </w:tr>
      <w:tr>
        <w:tc>
          <w:tcPr/>
          <w:p>
            <w:pPr>
              <w:pStyle w:val="Compact"/>
              <w:jc w:val="left"/>
            </w:pPr>
            <w:r>
              <w:t xml:space="preserve">Таймінг каскаду</w:t>
            </w:r>
          </w:p>
        </w:tc>
        <w:tc>
          <w:tcPr/>
          <w:p>
            <w:pPr>
              <w:pStyle w:val="Compact"/>
              <w:jc w:val="left"/>
            </w:pPr>
            <w:r>
              <w:t xml:space="preserve">Свемпленд (Вафа 2005)</w:t>
            </w:r>
          </w:p>
        </w:tc>
        <w:tc>
          <w:tcPr/>
          <w:p>
            <w:pPr>
              <w:pStyle w:val="Compact"/>
              <w:jc w:val="left"/>
            </w:pPr>
            <w:r>
              <w:t xml:space="preserve">1–2 р</w:t>
            </w:r>
          </w:p>
        </w:tc>
      </w:tr>
      <w:tr>
        <w:tc>
          <w:tcPr/>
          <w:p>
            <w:pPr>
              <w:pStyle w:val="Compact"/>
              <w:jc w:val="left"/>
            </w:pPr>
            <w:r>
              <w:t xml:space="preserve">Нейтринна ієрархія</w:t>
            </w:r>
          </w:p>
        </w:tc>
        <w:tc>
          <w:tcPr/>
          <w:p>
            <w:pPr>
              <w:pStyle w:val="Compact"/>
              <w:jc w:val="left"/>
            </w:pPr>
            <w:r>
              <w:t xml:space="preserve">Дискретні флейвор + see-saw SSM на CDT</w:t>
            </w:r>
          </w:p>
        </w:tc>
        <w:tc>
          <w:tcPr/>
          <w:p>
            <w:pPr>
              <w:pStyle w:val="Compact"/>
              <w:jc w:val="left"/>
            </w:pPr>
            <w:r>
              <w:t xml:space="preserve">2–5 р</w:t>
            </w:r>
          </w:p>
        </w:tc>
      </w:tr>
      <w:tr>
        <w:tc>
          <w:tcPr/>
          <w:p>
            <w:pPr>
              <w:pStyle w:val="Compact"/>
              <w:jc w:val="left"/>
            </w:pPr>
            <w:r>
              <w:t xml:space="preserve">C₀ з перших принципів</w:t>
            </w:r>
          </w:p>
        </w:tc>
        <w:tc>
          <w:tcPr/>
          <w:p>
            <w:pPr>
              <w:pStyle w:val="Compact"/>
              <w:jc w:val="left"/>
            </w:pPr>
            <w:r>
              <w:t xml:space="preserve">Соркін CST + унімодулярно + HH на CDT</w:t>
            </w:r>
          </w:p>
        </w:tc>
        <w:tc>
          <w:tcPr/>
          <w:p>
            <w:pPr>
              <w:pStyle w:val="Compact"/>
              <w:jc w:val="left"/>
            </w:pPr>
            <w:r>
              <w:t xml:space="preserve">3–5 р</w:t>
            </w:r>
          </w:p>
        </w:tc>
      </w:tr>
      <w:tr>
        <w:tc>
          <w:tcPr/>
          <w:p>
            <w:pPr>
              <w:pStyle w:val="Compact"/>
              <w:jc w:val="left"/>
            </w:pPr>
            <w:r>
              <w:t xml:space="preserve">Сильне CP (θ = 0)</w:t>
            </w:r>
          </w:p>
        </w:tc>
        <w:tc>
          <w:tcPr/>
          <w:p>
            <w:pPr>
              <w:pStyle w:val="Compact"/>
              <w:jc w:val="left"/>
            </w:pPr>
            <w:r>
              <w:t xml:space="preserve">Оверлеп Дірак на CDT</w:t>
            </w:r>
          </w:p>
        </w:tc>
        <w:tc>
          <w:tcPr/>
          <w:p>
            <w:pPr>
              <w:pStyle w:val="Compact"/>
              <w:jc w:val="left"/>
            </w:pPr>
            <w:r>
              <w:t xml:space="preserve">3–7 р</w:t>
            </w:r>
          </w:p>
        </w:tc>
      </w:tr>
      <w:tr>
        <w:tc>
          <w:tcPr/>
          <w:p>
            <w:pPr>
              <w:pStyle w:val="Compact"/>
              <w:jc w:val="left"/>
            </w:pPr>
            <w:r>
              <w:t xml:space="preserve">Квантове вимірювання</w:t>
            </w:r>
          </w:p>
        </w:tc>
        <w:tc>
          <w:tcPr/>
          <w:p>
            <w:pPr>
              <w:pStyle w:val="Compact"/>
              <w:jc w:val="left"/>
            </w:pPr>
            <w:r>
              <w:t xml:space="preserve">Діосі–Пенроуз = колапс кристалічного стану</w:t>
            </w:r>
          </w:p>
        </w:tc>
        <w:tc>
          <w:tcPr/>
          <w:p>
            <w:pPr>
              <w:pStyle w:val="Compact"/>
              <w:jc w:val="left"/>
            </w:pPr>
            <w:r>
              <w:t xml:space="preserve">1–10 р</w:t>
            </w:r>
          </w:p>
        </w:tc>
      </w:tr>
      <w:tr>
        <w:tc>
          <w:tcPr/>
          <w:p>
            <w:pPr>
              <w:pStyle w:val="Compact"/>
              <w:jc w:val="left"/>
            </w:pPr>
            <w:r>
              <w:t xml:space="preserve">TGFT-RG для EPRL</w:t>
            </w:r>
          </w:p>
        </w:tc>
        <w:tc>
          <w:tcPr/>
          <w:p>
            <w:pPr>
              <w:pStyle w:val="Compact"/>
              <w:jc w:val="left"/>
            </w:pPr>
            <w:r>
              <w:t xml:space="preserve">Поетапна Бар–Штайнгауса</w:t>
            </w:r>
          </w:p>
        </w:tc>
        <w:tc>
          <w:tcPr/>
          <w:p>
            <w:pPr>
              <w:pStyle w:val="Compact"/>
              <w:jc w:val="left"/>
            </w:pPr>
            <w:r>
              <w:t xml:space="preserve">2–3 р</w:t>
            </w:r>
          </w:p>
        </w:tc>
      </w:tr>
      <w:tr>
        <w:tc>
          <w:tcPr/>
          <w:p>
            <w:pPr>
              <w:pStyle w:val="Compact"/>
              <w:jc w:val="left"/>
            </w:pPr>
            <w:r>
              <w:t xml:space="preserve">Універсальність C-фази</w:t>
            </w:r>
          </w:p>
        </w:tc>
        <w:tc>
          <w:tcPr/>
          <w:p>
            <w:pPr>
              <w:pStyle w:val="Compact"/>
              <w:jc w:val="left"/>
            </w:pPr>
            <w:r>
              <w:t xml:space="preserve">Конформний бутстрап на IR CDT</w:t>
            </w:r>
          </w:p>
        </w:tc>
        <w:tc>
          <w:tcPr/>
          <w:p>
            <w:pPr>
              <w:pStyle w:val="Compact"/>
              <w:jc w:val="left"/>
            </w:pPr>
            <w:r>
              <w:t xml:space="preserve">3–5 р</w:t>
            </w:r>
          </w:p>
        </w:tc>
      </w:tr>
      <w:tr>
        <w:tc>
          <w:tcPr/>
          <w:p>
            <w:pPr>
              <w:pStyle w:val="Compact"/>
              <w:jc w:val="left"/>
            </w:pPr>
            <w:r>
              <w:t xml:space="preserve">Механізм χ_k → 1</w:t>
            </w:r>
          </w:p>
        </w:tc>
        <w:tc>
          <w:tcPr/>
          <w:p>
            <w:pPr>
              <w:pStyle w:val="Compact"/>
              <w:jc w:val="left"/>
            </w:pPr>
            <w:r>
              <w:t xml:space="preserve">Квантово-симуляторний аналог</w:t>
            </w:r>
          </w:p>
        </w:tc>
        <w:tc>
          <w:tcPr/>
          <w:p>
            <w:pPr>
              <w:pStyle w:val="Compact"/>
              <w:jc w:val="left"/>
            </w:pPr>
            <w:r>
              <w:t xml:space="preserve">3–7 р</w:t>
            </w:r>
          </w:p>
        </w:tc>
      </w:tr>
      <w:tr>
        <w:tc>
          <w:tcPr/>
          <w:p>
            <w:pPr>
              <w:pStyle w:val="Compact"/>
              <w:jc w:val="left"/>
            </w:pPr>
            <w:r>
              <w:t xml:space="preserve">L_k з перших принципів</w:t>
            </w:r>
          </w:p>
        </w:tc>
        <w:tc>
          <w:tcPr/>
          <w:p>
            <w:pPr>
              <w:pStyle w:val="Compact"/>
              <w:jc w:val="left"/>
            </w:pPr>
            <w:r>
              <w:t xml:space="preserve">Діосі–Пенроуз × редукуючий об’єм</w:t>
            </w:r>
          </w:p>
        </w:tc>
        <w:tc>
          <w:tcPr/>
          <w:p>
            <w:pPr>
              <w:pStyle w:val="Compact"/>
              <w:jc w:val="left"/>
            </w:pPr>
            <w:r>
              <w:t xml:space="preserve">1–3 р</w:t>
            </w:r>
          </w:p>
        </w:tc>
      </w:tr>
    </w:tbl>
    <w:p>
      <w:pPr>
        <w:pStyle w:val="BodyText"/>
      </w:pPr>
      <w:r>
        <w:t xml:space="preserve">Жоден із них не потребує нових шарів у синтезі. Вони використовують зовнішні системи як інструменти для закриття конкретних прогалин у межах існуючої архітектури 12+3+9.</w:t>
      </w:r>
    </w:p>
    <w:bookmarkEnd w:id="62"/>
    <w:bookmarkStart w:id="63" w:name="Xb102f3882fcca63408ba4ceab5f950a0670def9"/>
    <w:p>
      <w:pPr>
        <w:pStyle w:val="Heading1"/>
      </w:pPr>
      <w:r>
        <w:t xml:space="preserve">8. Повний список передбачень із детальними описами</w:t>
      </w:r>
    </w:p>
    <w:p>
      <w:pPr>
        <w:pStyle w:val="FirstParagraph"/>
      </w:pPr>
      <w:r>
        <w:t xml:space="preserve">Ідентичний §13 CCDR v7.3 — див. той документ для повних прозових описів усіх 38 пронумерованих передбачень, включно із сімома новими передбаченнями P32–P38, введеними у v7.3 / v3.3:</w:t>
      </w:r>
    </w:p>
    <w:p>
      <w:pPr>
        <w:numPr>
          <w:ilvl w:val="0"/>
          <w:numId w:val="1001"/>
        </w:numPr>
        <w:pStyle w:val="Compact"/>
      </w:pPr>
      <w:r>
        <w:rPr>
          <w:bCs/>
          <w:b/>
        </w:rPr>
        <w:t xml:space="preserve">P32</w:t>
      </w:r>
      <w:r>
        <w:t xml:space="preserve"> </w:t>
      </w:r>
      <w:r>
        <w:t xml:space="preserve">— Сигнатура χ_4 → 1 у спадному дзвоні високомасових злиттів BH (LIGO-VK O5 / LISA)</w:t>
      </w:r>
    </w:p>
    <w:p>
      <w:pPr>
        <w:numPr>
          <w:ilvl w:val="0"/>
          <w:numId w:val="1001"/>
        </w:numPr>
        <w:pStyle w:val="Compact"/>
      </w:pPr>
      <w:r>
        <w:rPr>
          <w:bCs/>
          <w:b/>
        </w:rPr>
        <w:t xml:space="preserve">P33</w:t>
      </w:r>
      <w:r>
        <w:t xml:space="preserve"> </w:t>
      </w:r>
      <w:r>
        <w:t xml:space="preserve">— Щільнісно-скорельований масштаб BAO (DESI DR3 щільнісно-стратифікований)</w:t>
      </w:r>
    </w:p>
    <w:p>
      <w:pPr>
        <w:numPr>
          <w:ilvl w:val="0"/>
          <w:numId w:val="1001"/>
        </w:numPr>
        <w:pStyle w:val="Compact"/>
      </w:pPr>
      <w:r>
        <w:rPr>
          <w:bCs/>
          <w:b/>
        </w:rPr>
        <w:t xml:space="preserve">P34</w:t>
      </w:r>
      <w:r>
        <w:t xml:space="preserve"> </w:t>
      </w:r>
      <w:r>
        <w:t xml:space="preserve">— Багатокомпонентна дисперсія швидкостей у кластерах (eROSITA × Euclid)</w:t>
      </w:r>
    </w:p>
    <w:p>
      <w:pPr>
        <w:numPr>
          <w:ilvl w:val="0"/>
          <w:numId w:val="1001"/>
        </w:numPr>
        <w:pStyle w:val="Compact"/>
      </w:pPr>
      <w:r>
        <w:rPr>
          <w:bCs/>
          <w:b/>
        </w:rPr>
        <w:t xml:space="preserve">P35</w:t>
      </w:r>
      <w:r>
        <w:t xml:space="preserve"> </w:t>
      </w:r>
      <w:r>
        <w:t xml:space="preserve">— Геометричні суб-BAO гармоніки в Lyα спектрі потужності</w:t>
      </w:r>
    </w:p>
    <w:p>
      <w:pPr>
        <w:numPr>
          <w:ilvl w:val="0"/>
          <w:numId w:val="1001"/>
        </w:numPr>
        <w:pStyle w:val="Compact"/>
      </w:pPr>
      <w:r>
        <w:rPr>
          <w:bCs/>
          <w:b/>
        </w:rPr>
        <w:t xml:space="preserve">P36</w:t>
      </w:r>
      <w:r>
        <w:t xml:space="preserve"> </w:t>
      </w:r>
      <w:r>
        <w:t xml:space="preserve">— Вилучач ν із послідовності MOND (трьохточкова підгонка a₀(z))</w:t>
      </w:r>
    </w:p>
    <w:p>
      <w:pPr>
        <w:numPr>
          <w:ilvl w:val="0"/>
          <w:numId w:val="1001"/>
        </w:numPr>
        <w:pStyle w:val="Compact"/>
      </w:pPr>
      <w:r>
        <w:rPr>
          <w:bCs/>
          <w:b/>
        </w:rPr>
        <w:t xml:space="preserve">P37</w:t>
      </w:r>
      <w:r>
        <w:t xml:space="preserve"> </w:t>
      </w:r>
      <w:r>
        <w:t xml:space="preserve">— Фазово-просторовий дрейф від каскадно-живого DM (орбітально-фазове мічення)</w:t>
      </w:r>
    </w:p>
    <w:p>
      <w:pPr>
        <w:numPr>
          <w:ilvl w:val="0"/>
          <w:numId w:val="1001"/>
        </w:numPr>
        <w:pStyle w:val="Compact"/>
      </w:pPr>
      <w:r>
        <w:rPr>
          <w:bCs/>
          <w:b/>
        </w:rPr>
        <w:t xml:space="preserve">P38</w:t>
      </w:r>
      <w:r>
        <w:t xml:space="preserve"> </w:t>
      </w:r>
      <w:r>
        <w:t xml:space="preserve">— Профіль стіни войду з кошіївським хвостом (DESI Y3 + Euclid DR1)</w:t>
      </w:r>
    </w:p>
    <w:p>
      <w:pPr>
        <w:pStyle w:val="FirstParagraph"/>
      </w:pPr>
      <w:r>
        <w:rPr>
          <w:bCs/>
          <w:b/>
        </w:rPr>
        <w:t xml:space="preserve">Зведена картка за чотири раунди:</w:t>
      </w:r>
    </w:p>
    <w:p>
      <w:pPr>
        <w:numPr>
          <w:ilvl w:val="0"/>
          <w:numId w:val="1002"/>
        </w:numPr>
        <w:pStyle w:val="Compact"/>
      </w:pPr>
      <w:r>
        <w:t xml:space="preserve">ПІДТВЕРДЖЕНО: §6.1 локальний a₀ → Мілгром (−3.3% SPARC, −8.4% ієрархічно).</w:t>
      </w:r>
    </w:p>
    <w:p>
      <w:pPr>
        <w:numPr>
          <w:ilvl w:val="0"/>
          <w:numId w:val="1002"/>
        </w:numPr>
        <w:pStyle w:val="Compact"/>
      </w:pPr>
      <w:r>
        <w:t xml:space="preserve">НА КОРИСТЬ ПОЗИТИВНОГО: P14/P30 щільнісно-κ на Euclid Q1 (+12.99σ проти нуля, очікує реплікації).</w:t>
      </w:r>
    </w:p>
    <w:p>
      <w:pPr>
        <w:numPr>
          <w:ilvl w:val="0"/>
          <w:numId w:val="1002"/>
        </w:numPr>
        <w:pStyle w:val="Compact"/>
      </w:pPr>
      <w:r>
        <w:t xml:space="preserve">ТРЕНД НА КОРИСТЬ: §6.1 високо-z a₀ → cH₀ (спірменів r = 0.886, p = 0.019, ~6 точок).</w:t>
      </w:r>
    </w:p>
    <w:p>
      <w:pPr>
        <w:numPr>
          <w:ilvl w:val="0"/>
          <w:numId w:val="1002"/>
        </w:numPr>
        <w:pStyle w:val="Compact"/>
      </w:pPr>
      <w:r>
        <w:t xml:space="preserve">ПОПЕРЕДНІЙ РЕЙТИНГ: P25 N = 6 з вагою 0.75 (перевірка на узгодженість, пом’якшена апріорним розподілом за вимірним походженням).</w:t>
      </w:r>
    </w:p>
    <w:p>
      <w:pPr>
        <w:numPr>
          <w:ilvl w:val="0"/>
          <w:numId w:val="1002"/>
        </w:numPr>
        <w:pStyle w:val="Compact"/>
      </w:pPr>
      <w:r>
        <w:t xml:space="preserve">СФАЛЬСИФІКОВАНО І ВИДАЛЕНО: P9a (надлишок 1–2 ГеВ), P9c (дип-пік QGP).</w:t>
      </w:r>
    </w:p>
    <w:p>
      <w:pPr>
        <w:numPr>
          <w:ilvl w:val="0"/>
          <w:numId w:val="1002"/>
        </w:numPr>
        <w:pStyle w:val="Compact"/>
      </w:pPr>
      <w:r>
        <w:t xml:space="preserve">ВІДКЛИКАНО: P7-ext (багатогармонічна w(z)), однопіковий w(z) вижилий, P3 (Темпель-єдине вирівнювання філаментів на SDSS).</w:t>
      </w:r>
    </w:p>
    <w:p>
      <w:pPr>
        <w:numPr>
          <w:ilvl w:val="0"/>
          <w:numId w:val="1002"/>
        </w:numPr>
        <w:pStyle w:val="Compact"/>
      </w:pPr>
      <w:r>
        <w:t xml:space="preserve">НЕПРАВИЛЬНИЙ ЗНАК: P8c (PTA × космічна павутина) — переінтерпретовано у v3.3 як зонд редукуючого об’єму через CL2 (§14).</w:t>
      </w:r>
    </w:p>
    <w:p>
      <w:pPr>
        <w:numPr>
          <w:ilvl w:val="0"/>
          <w:numId w:val="1002"/>
        </w:numPr>
        <w:pStyle w:val="Compact"/>
      </w:pPr>
      <w:r>
        <w:t xml:space="preserve">НЕПЕРЕВІРЮВАНО ЗАРАЗ: P10/P25 ядро (тоннажна детекція), P8a/b (300× нижче чутливості PTA).</w:t>
      </w:r>
    </w:p>
    <w:p>
      <w:pPr>
        <w:numPr>
          <w:ilvl w:val="0"/>
          <w:numId w:val="1002"/>
        </w:numPr>
        <w:pStyle w:val="Compact"/>
      </w:pPr>
      <w:r>
        <w:t xml:space="preserve">НЕОДНОЗНАЧНО: P1 (ν несене SN при низьких z, імовірно систематика).</w:t>
      </w:r>
    </w:p>
    <w:p>
      <w:pPr>
        <w:numPr>
          <w:ilvl w:val="0"/>
          <w:numId w:val="1002"/>
        </w:numPr>
        <w:pStyle w:val="Compact"/>
      </w:pPr>
      <w:r>
        <w:t xml:space="preserve">НОВІ У v3.3: P32–P38 (сім нових передбачень, усі поки не перевірено; P33 та P36 безпосередньо виконувані).</w:t>
      </w:r>
    </w:p>
    <w:bookmarkEnd w:id="63"/>
    <w:bookmarkStart w:id="64" w:name="Xf6ea9a81ebca988a66d7283ad9c083c5f72533e"/>
    <w:p>
      <w:pPr>
        <w:pStyle w:val="Heading1"/>
      </w:pPr>
      <w:r>
        <w:t xml:space="preserve">9. Результати 4-го раунду (Шестипунктова батарея Euclid Q1)</w:t>
      </w:r>
    </w:p>
    <w:p>
      <w:pPr>
        <w:pStyle w:val="FirstParagraph"/>
      </w:pPr>
      <w:r>
        <w:t xml:space="preserve">Раунд 4 дав один сигнал на користь позитивного результату (Тест 1 на P30), один узгоджений-але-не-підтверджувальний (Тест 2 на P3), один тренд на користь (Тест 5 на високо-z a₀) та три нульові-або-слабкі (Тести 3, 4, 6). Висновок на рівні синтезу: Шар 4 — єдиний шар з активними емпіричними сигналами, і кожен сигнал узгоджений із передбаченнями за напрямком та на нижньому кінці або нижче теоретичного діапазону амплітуди (відповідає ν ≈ 10⁻³).</w:t>
      </w:r>
    </w:p>
    <w:bookmarkEnd w:id="64"/>
    <w:bookmarkStart w:id="65" w:name="Xbde909f23804b3a8290873d8808b86d7e38cc73"/>
    <w:p>
      <w:pPr>
        <w:pStyle w:val="Heading1"/>
      </w:pPr>
      <w:r>
        <w:t xml:space="preserve">10. Перекласифікація за спостережуваним першим</w:t>
      </w:r>
    </w:p>
    <w:p>
      <w:pPr>
        <w:pStyle w:val="FirstParagraph"/>
      </w:pPr>
      <w:r>
        <w:rPr>
          <w:bCs/>
          <w:b/>
        </w:rPr>
        <w:t xml:space="preserve">N є спостережуваною величиною, що визначається підрахунком піків у прямій детекції під апріорним розподілом за вимірним походженням.</w:t>
      </w:r>
      <w:r>
        <w:t xml:space="preserve"> </w:t>
      </w:r>
      <w:r>
        <w:t xml:space="preserve">Усі алгебраїчні шляхи (DA/O, HaPPY, AQN, Ω_DM/Ω_B підгонка) є перевірками на узгодженість. Вони повідомляються і простежуються. Вони не фіксують N до вирішального експерименту. Система зобов’язується прийняти відповідь прямої детекції, якою б вона не виявилася.</w:t>
      </w:r>
    </w:p>
    <w:p>
      <w:pPr>
        <w:pStyle w:val="BodyText"/>
      </w:pPr>
      <w:r>
        <w:t xml:space="preserve">Застереження щодо редукуючого об’єму застосовується кількісно: підрахунок піків дає N лише за припущення повного відбору.</w:t>
      </w:r>
      <w:r>
        <w:t xml:space="preserve"> </w:t>
      </w:r>
      <w:r>
        <w:rPr>
          <w:bCs/>
          <w:b/>
        </w:rPr>
        <w:t xml:space="preserve">Апріорний розподіл за вимірним походженням</w:t>
      </w:r>
      <w:r>
        <w:t xml:space="preserve"> </w:t>
      </w:r>
      <w:r>
        <w:t xml:space="preserve">уточнює це до структурного передбачення, а не до застереження-відмовки. Види з більш ранніх, вищевимірних каскадних стадій мають систематично нижчу ймовірність присутності у нашій ділянці:</w:t>
      </w:r>
    </w:p>
    <w:p>
      <w:pPr>
        <w:pStyle w:val="BodyText"/>
      </w:pPr>
      <w:r>
        <w:t xml:space="preserve">P_presence(k) ~ (r_k / L_k)^{k−4}</w:t>
      </w:r>
    </w:p>
    <w:p>
      <w:pPr>
        <w:pStyle w:val="BodyText"/>
      </w:pPr>
      <w:r>
        <w:t xml:space="preserve">Показник (k−4) — число додаткових вимірів на стадії k. Що вище вимірне походження виду, то менша ймовірність того, що він був присутній у редукуючому об’ємі нашої ділянки під час компактифікації — бо на ранніших, вищевимірних стадіях наша ділянка займала меншу частину тодішнього більшого об’єму. Важчі піки (важчі види DM), отже, систематично з більшою ймовірністю</w:t>
      </w:r>
      <w:r>
        <w:t xml:space="preserve"> </w:t>
      </w:r>
      <w:r>
        <w:rPr>
          <w:bCs/>
          <w:b/>
        </w:rPr>
        <w:t xml:space="preserve">відсутні</w:t>
      </w:r>
      <w:r>
        <w:t xml:space="preserve"> </w:t>
      </w:r>
      <w:r>
        <w:t xml:space="preserve">у нашому локальному темному секторі.</w:t>
      </w:r>
    </w:p>
    <w:p>
      <w:pPr>
        <w:pStyle w:val="BodyText"/>
      </w:pPr>
      <w:r>
        <w:t xml:space="preserve">Звідси випливають три спостережувані наслідки.</w:t>
      </w:r>
    </w:p>
    <w:p>
      <w:pPr>
        <w:pStyle w:val="BodyText"/>
      </w:pPr>
      <w:r>
        <w:rPr>
          <w:bCs/>
          <w:b/>
        </w:rPr>
        <w:t xml:space="preserve">(i) Асиметричний розподіл піків.</w:t>
      </w:r>
      <w:r>
        <w:t xml:space="preserve"> </w:t>
      </w:r>
      <w:r>
        <w:t xml:space="preserve">Очікувана структура піків скошена до легших мас. Кампанія прямої детекції, що спостерігає n_obs піків, повинна порівнювати n_obs з E[n_peaks] (загалом &lt; N − 4), а не з N − 4. Відсутні важкі піки — це свідчення</w:t>
      </w:r>
      <w:r>
        <w:t xml:space="preserve"> </w:t>
      </w:r>
      <w:r>
        <w:rPr>
          <w:bCs/>
          <w:b/>
        </w:rPr>
        <w:t xml:space="preserve">на користь</w:t>
      </w:r>
      <w:r>
        <w:t xml:space="preserve"> </w:t>
      </w:r>
      <w:r>
        <w:t xml:space="preserve">структури редукуючого об’єму, а не проти каскаду.</w:t>
      </w:r>
    </w:p>
    <w:p>
      <w:pPr>
        <w:pStyle w:val="BodyText"/>
      </w:pPr>
      <w:r>
        <w:rPr>
          <w:bCs/>
          <w:b/>
        </w:rPr>
        <w:t xml:space="preserve">(ii) Крос-патч варіація.</w:t>
      </w:r>
      <w:r>
        <w:t xml:space="preserve"> </w:t>
      </w:r>
      <w:r>
        <w:t xml:space="preserve">Різні редукуючі об’єми відбирають різні P_presence(k). Різні області нашого габбл-об’єму можуть містити різні склади DM, що детектується через P30-подібну щільнісно-стратифіковану лінзову статистику і, безпосередніше, через CL2 (переінтерпретація P8c у §14).</w:t>
      </w:r>
    </w:p>
    <w:p>
      <w:pPr>
        <w:pStyle w:val="BodyText"/>
      </w:pPr>
      <w:r>
        <w:rPr>
          <w:bCs/>
          <w:b/>
        </w:rPr>
        <w:t xml:space="preserve">(iii) Асиметричні межі.</w:t>
      </w:r>
      <w:r>
        <w:t xml:space="preserve"> </w:t>
      </w:r>
      <w:r>
        <w:t xml:space="preserve">Консервативна нижня межа N ≥ 4 + n_obs все ще виконується. Але верхня межа від підрахунку ослаблена мінімальною ймовірністю присутності; один спостережений пік на стадії k₀ дає лише N ≥ 4 + k₀ замість N = 4 + n_obs.</w:t>
      </w:r>
    </w:p>
    <w:p>
      <w:pPr>
        <w:pStyle w:val="BodyText"/>
      </w:pPr>
      <w:r>
        <w:t xml:space="preserve">Це уточнення структурне, а не косметичне. Воно переносить підрахунок піків із простого зчитувача N до спільної оцінки N та патч-специфічного шаблону ймовірностей присутності.</w:t>
      </w:r>
    </w:p>
    <w:bookmarkEnd w:id="65"/>
    <w:bookmarkStart w:id="66" w:name="Xe54bdcda1685a4eda3ddf1001d55cecba4ce99b"/>
    <w:p>
      <w:pPr>
        <w:pStyle w:val="Heading1"/>
      </w:pPr>
      <w:r>
        <w:t xml:space="preserve">11. Шарова фальсифікованість із запасними шляхами (підсумок)</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Шар</w:t>
            </w:r>
          </w:p>
        </w:tc>
        <w:tc>
          <w:tcPr/>
          <w:p>
            <w:pPr>
              <w:pStyle w:val="Compact"/>
              <w:jc w:val="left"/>
            </w:pPr>
            <w:r>
              <w:t xml:space="preserve">Компонент</w:t>
            </w:r>
          </w:p>
        </w:tc>
        <w:tc>
          <w:tcPr/>
          <w:p>
            <w:pPr>
              <w:pStyle w:val="Compact"/>
              <w:jc w:val="left"/>
            </w:pPr>
            <w:r>
              <w:t xml:space="preserve">Умова виходу</w:t>
            </w:r>
          </w:p>
        </w:tc>
        <w:tc>
          <w:tcPr/>
          <w:p>
            <w:pPr>
              <w:pStyle w:val="Compact"/>
              <w:jc w:val="left"/>
            </w:pPr>
            <w:r>
              <w:t xml:space="preserve">Запас</w:t>
            </w:r>
          </w:p>
        </w:tc>
      </w:tr>
      <w:tr>
        <w:tc>
          <w:tcPr/>
          <w:p>
            <w:pPr>
              <w:pStyle w:val="Compact"/>
              <w:jc w:val="left"/>
            </w:pPr>
            <w:r>
              <w:t xml:space="preserve">0</w:t>
            </w:r>
          </w:p>
        </w:tc>
        <w:tc>
          <w:tcPr/>
          <w:p>
            <w:pPr>
              <w:pStyle w:val="Compact"/>
              <w:jc w:val="left"/>
            </w:pPr>
            <w:r>
              <w:t xml:space="preserve">CDT + ядро каскаду</w:t>
            </w:r>
          </w:p>
        </w:tc>
        <w:tc>
          <w:tcPr/>
          <w:p>
            <w:pPr>
              <w:pStyle w:val="Compact"/>
              <w:jc w:val="left"/>
            </w:pPr>
            <w:r>
              <w:t xml:space="preserve">Відсутня C-фаза; негеометричні відношення; нуль піків нижче імовірнісно-зваженої нижньої межі</w:t>
            </w:r>
          </w:p>
        </w:tc>
        <w:tc>
          <w:tcPr/>
          <w:p>
            <w:pPr>
              <w:pStyle w:val="Compact"/>
              <w:jc w:val="left"/>
            </w:pPr>
            <w:r>
              <w:t xml:space="preserve">CST або CFS</w:t>
            </w:r>
          </w:p>
        </w:tc>
      </w:tr>
      <w:tr>
        <w:tc>
          <w:tcPr/>
          <w:p>
            <w:pPr>
              <w:pStyle w:val="Compact"/>
              <w:jc w:val="left"/>
            </w:pPr>
            <w:r>
              <w:t xml:space="preserve">1</w:t>
            </w:r>
          </w:p>
        </w:tc>
        <w:tc>
          <w:tcPr/>
          <w:p>
            <w:pPr>
              <w:pStyle w:val="Compact"/>
              <w:jc w:val="left"/>
            </w:pPr>
            <w:r>
              <w:t xml:space="preserve">GFT + TGFT-RG</w:t>
            </w:r>
          </w:p>
        </w:tc>
        <w:tc>
          <w:tcPr/>
          <w:p>
            <w:pPr>
              <w:pStyle w:val="Compact"/>
              <w:jc w:val="left"/>
            </w:pPr>
            <w:r>
              <w:t xml:space="preserve">ν суперечить TGFT-RG; γ розходиться</w:t>
            </w:r>
          </w:p>
        </w:tc>
        <w:tc>
          <w:tcPr/>
          <w:p>
            <w:pPr>
              <w:pStyle w:val="Compact"/>
              <w:jc w:val="left"/>
            </w:pPr>
            <w:r>
              <w:t xml:space="preserve">ν повертається до підгонки</w:t>
            </w:r>
          </w:p>
        </w:tc>
      </w:tr>
      <w:tr>
        <w:tc>
          <w:tcPr/>
          <w:p>
            <w:pPr>
              <w:pStyle w:val="Compact"/>
              <w:jc w:val="left"/>
            </w:pPr>
            <w:r>
              <w:t xml:space="preserve">2</w:t>
            </w:r>
          </w:p>
        </w:tc>
        <w:tc>
          <w:tcPr/>
          <w:p>
            <w:pPr>
              <w:pStyle w:val="Compact"/>
              <w:jc w:val="left"/>
            </w:pPr>
            <w:r>
              <w:t xml:space="preserve">TN + HaPPY</w:t>
            </w:r>
          </w:p>
        </w:tc>
        <w:tc>
          <w:tcPr/>
          <w:p>
            <w:pPr>
              <w:pStyle w:val="Compact"/>
              <w:jc w:val="left"/>
            </w:pPr>
            <w:r>
              <w:t xml:space="preserve">RT не працює у C-фазі CDT</w:t>
            </w:r>
          </w:p>
        </w:tc>
        <w:tc>
          <w:tcPr/>
          <w:p>
            <w:pPr>
              <w:pStyle w:val="Compact"/>
              <w:jc w:val="left"/>
            </w:pPr>
            <w:r>
              <w:t xml:space="preserve">EG</w:t>
            </w:r>
          </w:p>
        </w:tc>
      </w:tr>
      <w:tr>
        <w:tc>
          <w:tcPr/>
          <w:p>
            <w:pPr>
              <w:pStyle w:val="Compact"/>
              <w:jc w:val="left"/>
            </w:pPr>
            <w:r>
              <w:t xml:space="preserve">3</w:t>
            </w:r>
          </w:p>
        </w:tc>
        <w:tc>
          <w:tcPr/>
          <w:p>
            <w:pPr>
              <w:pStyle w:val="Compact"/>
              <w:jc w:val="left"/>
            </w:pPr>
            <w:r>
              <w:t xml:space="preserve">SSM + AS + DA/O</w:t>
            </w:r>
          </w:p>
        </w:tc>
        <w:tc>
          <w:tcPr/>
          <w:p>
            <w:pPr>
              <w:pStyle w:val="Compact"/>
              <w:jc w:val="left"/>
            </w:pPr>
            <w:r>
              <w:t xml:space="preserve">Константи калібрування неправильні</w:t>
            </w:r>
          </w:p>
        </w:tc>
        <w:tc>
          <w:tcPr/>
          <w:p>
            <w:pPr>
              <w:pStyle w:val="Compact"/>
              <w:jc w:val="left"/>
            </w:pPr>
            <w:r>
              <w:t xml:space="preserve">DA/O окремо або емпіричне</w:t>
            </w:r>
          </w:p>
        </w:tc>
      </w:tr>
      <w:tr>
        <w:tc>
          <w:tcPr/>
          <w:p>
            <w:pPr>
              <w:pStyle w:val="Compact"/>
              <w:jc w:val="left"/>
            </w:pPr>
            <w:r>
              <w:t xml:space="preserve">4</w:t>
            </w:r>
          </w:p>
        </w:tc>
        <w:tc>
          <w:tcPr/>
          <w:p>
            <w:pPr>
              <w:pStyle w:val="Compact"/>
              <w:jc w:val="left"/>
            </w:pPr>
            <w:r>
              <w:t xml:space="preserve">RVM + CCDR</w:t>
            </w:r>
          </w:p>
        </w:tc>
        <w:tc>
          <w:tcPr/>
          <w:p>
            <w:pPr>
              <w:pStyle w:val="Compact"/>
              <w:jc w:val="left"/>
            </w:pPr>
            <w:r>
              <w:t xml:space="preserve">ν &lt; 0; χ → 1 ніколи не запускається; три вилучача ν розходяться</w:t>
            </w:r>
          </w:p>
        </w:tc>
        <w:tc>
          <w:tcPr/>
          <w:p>
            <w:pPr>
              <w:pStyle w:val="Compact"/>
              <w:jc w:val="left"/>
            </w:pPr>
            <w:r>
              <w:t xml:space="preserve">Системи незалежні</w:t>
            </w:r>
          </w:p>
        </w:tc>
      </w:tr>
      <w:tr>
        <w:tc>
          <w:tcPr/>
          <w:p>
            <w:pPr>
              <w:pStyle w:val="Compact"/>
              <w:jc w:val="left"/>
            </w:pPr>
            <w:r>
              <w:t xml:space="preserve">5</w:t>
            </w:r>
          </w:p>
        </w:tc>
        <w:tc>
          <w:tcPr/>
          <w:p>
            <w:pPr>
              <w:pStyle w:val="Compact"/>
              <w:jc w:val="left"/>
            </w:pPr>
            <w:r>
              <w:t xml:space="preserve">Бариогенез</w:t>
            </w:r>
          </w:p>
        </w:tc>
        <w:tc>
          <w:tcPr/>
          <w:p>
            <w:pPr>
              <w:pStyle w:val="Compact"/>
              <w:jc w:val="left"/>
            </w:pPr>
            <w:r>
              <w:t xml:space="preserve">η помилкове на порядки</w:t>
            </w:r>
          </w:p>
        </w:tc>
        <w:tc>
          <w:tcPr/>
          <w:p>
            <w:pPr>
              <w:pStyle w:val="Compact"/>
              <w:jc w:val="left"/>
            </w:pPr>
            <w:r>
              <w:t xml:space="preserve">Решта виживає</w:t>
            </w:r>
          </w:p>
        </w:tc>
      </w:tr>
    </w:tbl>
    <w:p>
      <w:pPr>
        <w:pStyle w:val="BodyText"/>
      </w:pPr>
      <w:r>
        <w:rPr>
          <w:bCs/>
          <w:b/>
        </w:rPr>
        <w:t xml:space="preserve">Жодна єдина невдача не руйнує програми.</w:t>
      </w:r>
      <w:r>
        <w:t xml:space="preserve"> </w:t>
      </w:r>
      <w:r>
        <w:t xml:space="preserve">Ядро каскаду може бути сфальсифіковане лише прямою детекцією DM (Шар 0) або відсутністю передбачених геометричних відношень мас (P27). Кожна прогалина має шлях розв’язання. Кожне передбачення перевірюване.</w:t>
      </w:r>
    </w:p>
    <w:bookmarkEnd w:id="66"/>
    <w:bookmarkStart w:id="67" w:name="X1002cb5f0e8a11e5eb73e6389e298dc760a0c70"/>
    <w:p>
      <w:pPr>
        <w:pStyle w:val="Heading1"/>
      </w:pPr>
      <w:r>
        <w:t xml:space="preserve">12. Пріоритетні експериментальні цілі для 5-го раунду</w:t>
      </w:r>
    </w:p>
    <w:p>
      <w:pPr>
        <w:numPr>
          <w:ilvl w:val="0"/>
          <w:numId w:val="1003"/>
        </w:numPr>
        <w:pStyle w:val="Compact"/>
      </w:pPr>
      <w:r>
        <w:t xml:space="preserve">Незалежна реплікація щільнісно-κ Euclid Q1 на не-Euclid лінзуванні (Planck PR4 / ACT / SPT-3G × DES/LSST).</w:t>
      </w:r>
    </w:p>
    <w:p>
      <w:pPr>
        <w:numPr>
          <w:ilvl w:val="0"/>
          <w:numId w:val="1003"/>
        </w:numPr>
        <w:pStyle w:val="Compact"/>
      </w:pPr>
      <w:r>
        <w:t xml:space="preserve">Повний аудит систематик переднього плану для сигналу κ.</w:t>
      </w:r>
    </w:p>
    <w:p>
      <w:pPr>
        <w:numPr>
          <w:ilvl w:val="0"/>
          <w:numId w:val="1003"/>
        </w:numPr>
        <w:pStyle w:val="Compact"/>
      </w:pPr>
      <w:r>
        <w:t xml:space="preserve">Високо-z a₀ тест на каталожного масштабу зразку (~100+ кривих обертання при z &gt; 0.3).</w:t>
      </w:r>
    </w:p>
    <w:p>
      <w:pPr>
        <w:numPr>
          <w:ilvl w:val="0"/>
          <w:numId w:val="1003"/>
        </w:numPr>
        <w:pStyle w:val="Compact"/>
      </w:pPr>
      <w:r>
        <w:t xml:space="preserve">Перевиведення ν на DESI DR3.</w:t>
      </w:r>
    </w:p>
    <w:p>
      <w:pPr>
        <w:numPr>
          <w:ilvl w:val="0"/>
          <w:numId w:val="1003"/>
        </w:numPr>
        <w:pStyle w:val="Compact"/>
      </w:pPr>
      <w:r>
        <w:t xml:space="preserve">Поетапне виконання Бара–Штайнгауса (Шлях 6).</w:t>
      </w:r>
    </w:p>
    <w:p>
      <w:pPr>
        <w:numPr>
          <w:ilvl w:val="0"/>
          <w:numId w:val="1003"/>
        </w:numPr>
        <w:pStyle w:val="Compact"/>
      </w:pPr>
      <w:r>
        <w:t xml:space="preserve">Простежити тоннажне наближення прямої детекції до вікна 0.5–3 ТеВ.</w:t>
      </w:r>
    </w:p>
    <w:p>
      <w:pPr>
        <w:numPr>
          <w:ilvl w:val="0"/>
          <w:numId w:val="1003"/>
        </w:numPr>
        <w:pStyle w:val="Compact"/>
      </w:pPr>
      <w:r>
        <w:t xml:space="preserve">Виконати P36 (ν із послідовності MOND) та P33 (щільнісно-стратифікований BAO) — обидва безпосередньо обчислювані з існуючими даними.</w:t>
      </w:r>
    </w:p>
    <w:p>
      <w:pPr>
        <w:numPr>
          <w:ilvl w:val="0"/>
          <w:numId w:val="1003"/>
        </w:numPr>
        <w:pStyle w:val="Compact"/>
      </w:pPr>
      <w:r>
        <w:t xml:space="preserve">Дизайн квантово-симуляторного аналога для Шляху 8 (теоретична фаза 2026–2027).</w:t>
      </w:r>
    </w:p>
    <w:p>
      <w:pPr>
        <w:numPr>
          <w:ilvl w:val="0"/>
          <w:numId w:val="1003"/>
        </w:numPr>
        <w:pStyle w:val="Compact"/>
      </w:pPr>
      <w:r>
        <w:t xml:space="preserve">Просторова крос-кореляція сигналу PTA×космічна-павутина P8c зі сигналом щільнісно-κ P30 (тест CL2; безпосередньо виконуваний).</w:t>
      </w:r>
    </w:p>
    <w:bookmarkEnd w:id="67"/>
    <w:bookmarkStart w:id="68" w:name="висновок"/>
    <w:p>
      <w:pPr>
        <w:pStyle w:val="Heading1"/>
      </w:pPr>
      <w:r>
        <w:t xml:space="preserve">13. Висновок</w:t>
      </w:r>
    </w:p>
    <w:p>
      <w:pPr>
        <w:pStyle w:val="FirstParagraph"/>
      </w:pPr>
      <w:r>
        <w:t xml:space="preserve">Синтез v3.3 — це структурно повна дослідницька програма: 12 первинних систем, що надають теоретичний апарат, 3 альтернативні гілки, що забезпечують стійкість до відмов окремих компонентів,</w:t>
      </w:r>
      <w:r>
        <w:t xml:space="preserve"> </w:t>
      </w:r>
      <w:r>
        <w:rPr>
          <w:bCs/>
          <w:b/>
        </w:rPr>
        <w:t xml:space="preserve">9 шляхів розв’язання</w:t>
      </w:r>
      <w:r>
        <w:t xml:space="preserve"> </w:t>
      </w:r>
      <w:r>
        <w:t xml:space="preserve">(шість первісних плюс три нові у v3.3), що закривають решту прогалин, 5 шарів фальсифікованості із явними умовами виходу, повний ланцюг рівнянь від CDT-симплексів до спостережуваних передбачень та</w:t>
      </w:r>
      <w:r>
        <w:t xml:space="preserve"> </w:t>
      </w:r>
      <w:r>
        <w:rPr>
          <w:bCs/>
          <w:b/>
        </w:rPr>
        <w:t xml:space="preserve">38 пронумерованих передбачень</w:t>
      </w:r>
      <w:r>
        <w:t xml:space="preserve"> </w:t>
      </w:r>
      <w:r>
        <w:t xml:space="preserve">із повними прозовими описами та прозорим емпіричним статусом.</w:t>
      </w:r>
    </w:p>
    <w:p>
      <w:pPr>
        <w:pStyle w:val="BodyText"/>
      </w:pPr>
      <w:r>
        <w:t xml:space="preserve">Архітектура слідує Лакатошу: ядро (χ → 1 запускає вимірну редукцію, локально та асинхронно), захисний пояс (геометрія CDT, TN-заплутаність, динаміка RVM, конденсат GFT, темна матерія AQN, лагранжіан SSM, перехресна перевірка DA/O, строгість TGFT-RG, QEC HaPPY), альтернативні гілки (CST, EG, CFS), які можуть замінити компоненти поясу у випадку фальсифікації, шляхи розв’язання (Свемпленд, дискретні флейвори, Соркін–HH, оверлеп-Дірак, Діосі–Пенроуз, Бар–Штайнгауса, конформний бутстрап, квантовий симулятор, Діосі–Пенроуз × редукуючий об’єм), що закривають решту прогалин за допомогою існуючих зовнішніх інструментів, та перехресні зв’язки між системами (§14), що забезпечують незалежну трикутну узгодженість.</w:t>
      </w:r>
    </w:p>
    <w:p>
      <w:pPr>
        <w:pStyle w:val="BodyText"/>
      </w:pPr>
      <w:r>
        <w:t xml:space="preserve">Система явно забороняє передавання інформації FTL, поважає термодинамічну спрямованість часу та зобов’язується визначати N зі спостереження. Жодна єдина невдача не руйнує програми. Кожна прогалина має шлях розв’язання. Кожне передбачення перевірюване.</w:t>
      </w:r>
    </w:p>
    <w:p>
      <w:pPr>
        <w:pStyle w:val="BodyText"/>
      </w:pPr>
      <w:r>
        <w:t xml:space="preserve">Апріорний розподіл за вимірним походженням тепер є першокласною частиною інтерпретації прямої детекції: види з вищого вимірного походження систематично менш імовірно присутні у нашій ділянці, тож очікувана кількість піків менша за N − 4 і скошена до легших мас. Відсутні важкі піки є структурними, а не фальсифікуючими.</w:t>
      </w:r>
    </w:p>
    <w:p>
      <w:pPr>
        <w:pStyle w:val="BodyText"/>
      </w:pPr>
      <w:r>
        <w:t xml:space="preserve">Програма готова. Вирішальний експеримент — тоннажна пряма детекція з аналізом піків у вікні 0.5–3 ТеВ. Коли він спрацює, система або успішно завершиться, або зазнає чистого краху — під кількісно визначеним апріорним розподілом за вимірним походженням, а не під хеджувальним застереженням v3.2.</w:t>
      </w:r>
    </w:p>
    <w:bookmarkEnd w:id="68"/>
    <w:bookmarkStart w:id="69" w:name="Xb17fbf3952084061db52a08e56cc7c8e29d3195"/>
    <w:p>
      <w:pPr>
        <w:pStyle w:val="Heading1"/>
      </w:pPr>
      <w:r>
        <w:t xml:space="preserve">14. Перехресні зв’язки між системами (нове у v3.3)</w:t>
      </w:r>
    </w:p>
    <w:p>
      <w:pPr>
        <w:pStyle w:val="FirstParagraph"/>
      </w:pPr>
      <w:r>
        <w:t xml:space="preserve">Система тепер містить достатньо емпірично заякорених частин, щоб внутрішні перевірки на узгодженість стали першокласними тестами. Зареєстровано три зв’язки, простежуючи §17 CCDR v7.3.</w:t>
      </w:r>
    </w:p>
    <w:p>
      <w:pPr>
        <w:pStyle w:val="BodyText"/>
      </w:pPr>
      <w:r>
        <w:rPr>
          <w:bCs/>
          <w:b/>
        </w:rPr>
        <w:t xml:space="preserve">CL1 — Перехресна перевірка ν із послідовності MOND.</w:t>
      </w:r>
      <w:r>
        <w:t xml:space="preserve"> </w:t>
      </w:r>
      <w:r>
        <w:t xml:space="preserve">§6.1 (локальний a₀ → Мілгром, підтверджено) та §6.1 (високо-z a₀ тренд, на користь) разом із асимптотичним a₀ → cH₀ дають три дані точки на кривій a₀(z), яка через охолодження RVM H(t) є прямою функцією ν. Трьохточкова підгонка дає ν_MOND, незалежне як від Pantheon+ SN, так і від Euclid κ. Якщо ν_MOND розходиться з ν_SN на &gt;2σ, інтерпретація систематики SN при низьких z із §1.2 посилюється, а ν_MOND стає первинним якорем ν. Безпосередньо виконуване (формалізовано як P36).</w:t>
      </w:r>
    </w:p>
    <w:p>
      <w:pPr>
        <w:pStyle w:val="BodyText"/>
      </w:pPr>
      <w:r>
        <w:rPr>
          <w:bCs/>
          <w:b/>
        </w:rPr>
        <w:t xml:space="preserve">CL2 — P8c неправильний знак як сигнатура редукуючого об’єму.</w:t>
      </w:r>
      <w:r>
        <w:t xml:space="preserve"> </w:t>
      </w:r>
      <w:r>
        <w:t xml:space="preserve">Кореляція PTA × космічна павутина дала r = +0.20 проти передбаченого від’ємного. За імовірнісно-зваженим редукуючим об’ємом (§4.2) непрезентативна локальна ділянка з атиповим складом DM може продукувати інверсію знака у передбаченні, що усереднюється за видами — не фальсифікуючи ядра каскаду.</w:t>
      </w:r>
      <w:r>
        <w:t xml:space="preserve"> </w:t>
      </w:r>
      <w:r>
        <w:rPr>
          <w:bCs/>
          <w:b/>
        </w:rPr>
        <w:t xml:space="preserve">Перевірювана переформулювання:</w:t>
      </w:r>
      <w:r>
        <w:t xml:space="preserve"> </w:t>
      </w:r>
      <w:r>
        <w:t xml:space="preserve">якщо інверсія P8c має той самий просторовий шаблон кореляції, що й сигнал щільнісно-κ P30 (обидва стратифіковані за локальною щільністю), то це сигнатура редукуючого об’єму, а не відкликання. Перетворює існуючу невдачу на структурний зонд, фальсифікований у будь-якому випадку.</w:t>
      </w:r>
    </w:p>
    <w:p>
      <w:pPr>
        <w:pStyle w:val="BodyText"/>
      </w:pPr>
      <w:r>
        <w:rPr>
          <w:bCs/>
          <w:b/>
        </w:rPr>
        <w:t xml:space="preserve">CL3 — Фактор Q часового кристалу як незалежна перевірка ν.</w:t>
      </w:r>
      <w:r>
        <w:t xml:space="preserve"> </w:t>
      </w:r>
      <w:r>
        <w:t xml:space="preserve">Космологічний часовий кристал Q ~ 1/(2ν) ~ 500 проявляється як гостроту асимптоти де Сіттера у H(z); високо-z H(z) підгонка з лоренцієвсько-атракторною моделлю безпосередньо вилучає Q, а отже ν, незалежно як від SN, так і від шляхів MOND. Три незалежні вилучача ν (SN, послідовність MOND, Q-фактор) обмежують інтерпретацію систематики з трьох сторін і утворюють нетривіальний внутрішній трикутник узгодженості.</w:t>
      </w:r>
    </w:p>
    <w:bookmarkEnd w:id="69"/>
    <w:bookmarkStart w:id="70" w:name="посилання"/>
    <w:p>
      <w:pPr>
        <w:pStyle w:val="Heading1"/>
      </w:pPr>
      <w:r>
        <w:t xml:space="preserve">Посилання</w:t>
      </w:r>
    </w:p>
    <w:p>
      <w:pPr>
        <w:pStyle w:val="FirstParagraph"/>
      </w:pPr>
      <w:r>
        <w:t xml:space="preserve">[1–26] Як у CCDR v7.3. [27] Wilson (1974). PRD 10, 2445. [28] Weinberg (1979). У General Relativity, CUP. [29] Oriti (2007). PoS QG-Ph, 030. [30] EPRL (2008). NPB 799, 136. [31] Carrozza (2014). Springer. [32] Chamseddine &amp; Connes (2007). JGP 58, 38. [33] Solà Peracaula та ін. (2023). EPJC 83, 516. [34] Vafa (2005). arXiv:hep-th/0509212. [35] Diósi (1987). PLA 120, 377. [36] Penrose (1996). GRG 28, 581. [37] Neuberger (1998). PLB 417, 141. [38] Piguet &amp; Sorella (1995). Algebraic Renormalisation, Springer. [39] Hartle &amp; Hawking (1983). PRD 28, 2960. [40] Sorkin (1991). arXiv:1402.3589. [41] Simmons-Duffin (2017). arXiv:1602.07982. [42] Google–JILA (2022). Nature 606, 884 (синтетично-вимірні холодні атоми).</w:t>
      </w:r>
    </w:p>
    <w:p>
      <w:pPr>
        <w:pStyle w:val="BodyText"/>
      </w:pPr>
      <w:r>
        <w:rPr>
          <w:iCs/>
          <w:i/>
        </w:rPr>
        <w:t xml:space="preserve">Рукопис підготовлено для подвійного сліпого рецензування.</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Розширений кристалографічний синтез (v3.3)</dc:title>
  <dc:creator>[Імена авторів приховано]</dc:creator>
  <cp:keywords/>
  <dcterms:created xsi:type="dcterms:W3CDTF">2026-04-17T20:38:53Z</dcterms:created>
  <dcterms:modified xsi:type="dcterms:W3CDTF">2026-04-17T20:38:53Z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Квітень 2026</vt:lpwstr>
  </property>
  <property fmtid="{D5CDD505-2E9C-101B-9397-08002B2CF9AE}" pid="3" name="subtitle">
    <vt:lpwstr>12 первинних систем, 3 альтернативні гілки, 9 шляхів розв’язання — з повним набором передбачень, апріорним розподілом за вимірним походженням, перехресними зв’язками між системами та 5-шаровою фальсифікованістю</vt:lpwstr>
  </property>
</Properties>
</file>