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102A54"/>
            <w:tcMar>
              <w:top w:w="260" w:type="dxa"/>
              <w:bottom w:w="260" w:type="dxa"/>
              <w:start w:w="240" w:type="dxa"/>
              <w:end w:w="2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8FC2F0"/>
                <w:sz w:val="22"/>
              </w:rPr>
              <w:t>JNEOPALLIUM · INDUSTRIAL LOOP GUARDIAN</w:t>
            </w:r>
          </w:p>
          <w:p>
            <w:pPr>
              <w:spacing w:after="40"/>
            </w:pPr>
            <w:r>
              <w:rPr>
                <w:rFonts w:ascii="Calibri" w:hAnsi="Calibri"/>
                <w:color w:val="B9C6DA"/>
                <w:sz w:val="18"/>
              </w:rPr>
              <w:t>ПОСІБНИК З РОЗГОРТАННЯ</w:t>
            </w:r>
          </w:p>
        </w:tc>
      </w:tr>
    </w:tbl>
    <w:p>
      <w:pPr>
        <w:spacing w:after="0" w:before="0"/>
      </w:pPr>
      <w:r>
        <w:rPr>
          <w:sz w:val="40"/>
        </w:rPr>
      </w:r>
    </w:p>
    <w:p>
      <w:pPr>
        <w:spacing w:after="80"/>
      </w:pPr>
      <w:r>
        <w:rPr>
          <w:rFonts w:ascii="Calibri" w:hAnsi="Calibri"/>
          <w:b/>
          <w:color w:val="102A54"/>
          <w:sz w:val="60"/>
        </w:rPr>
        <w:t>Посібник з розгортання</w:t>
      </w:r>
    </w:p>
    <w:p>
      <w:pPr>
        <w:spacing w:after="200"/>
      </w:pPr>
      <w:r>
        <w:rPr>
          <w:rFonts w:ascii="Calibri" w:hAnsi="Calibri"/>
          <w:color w:val="1C5D99"/>
          <w:sz w:val="28"/>
        </w:rPr>
        <w:t>Запустіть навчену наглядову мережу як тіньовий/рекомендаційний worker над PLC/PID/SIS</w:t>
      </w:r>
    </w:p>
    <w:p>
      <w:pPr>
        <w:pBdr>
          <w:bottom w:val="single" w:sz="10" w:space="4" w:color="0E7C86"/>
        </w:pBdr>
      </w:pP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555F70"/>
          <w:sz w:val="23"/>
        </w:rPr>
        <w:t>Половина конвеєра, що відповідає за розгортання: візьміть мережу JNeopallium, яку створив тренер, — разом із готовим промисловим контекстом — під'єднайте її до ваших потоків OPC UA, MQTT і Kafka та запустіть як безперервний тіньово-рекомендаційний наглядовий worker, що ніколи не торкається детермінованого керування.</w:t>
      </w:r>
    </w:p>
    <w:p>
      <w:pPr>
        <w:spacing w:after="0" w:before="0"/>
      </w:pPr>
      <w:r>
        <w:rPr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86"/>
        <w:gridCol w:w="4586"/>
      </w:tblGrid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Документ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Посібник з промислового розгортання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Продукт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Jneopallium Industrial Loop Guardian (демо FMI-скіда)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Споживає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Готову до розгортання мережу з Посібника з навчання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Режим безпеки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ADVISORY (наглядовий, лише рекомендації)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Платформи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Windows (PowerShell) і Linux/macOS (bash)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Автор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Дмитро Раковський — Харків, Україна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Дата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23 червня 2026</w:t>
            </w:r>
          </w:p>
        </w:tc>
      </w:tr>
      <w:tr>
        <w:tc>
          <w:tcPr>
            <w:tcW w:type="dxa" w:w="2448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Ліцензія</w:t>
            </w:r>
          </w:p>
        </w:tc>
        <w:tc>
          <w:tcPr>
            <w:tcW w:type="dxa" w:w="6624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BSD 3-Clause</w:t>
            </w:r>
          </w:p>
        </w:tc>
      </w:tr>
    </w:tbl>
    <w:p>
      <w:r>
        <w:br w:type="page"/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102A54"/>
          <w:sz w:val="34"/>
        </w:rPr>
        <w:t>Зміст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1.  </w:t>
      </w:r>
      <w:r>
        <w:rPr>
          <w:rFonts w:ascii="Calibri" w:hAnsi="Calibri"/>
          <w:color w:val="141B2E"/>
          <w:sz w:val="21"/>
        </w:rPr>
        <w:t>Чого ви досягнете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2.  </w:t>
      </w:r>
      <w:r>
        <w:rPr>
          <w:rFonts w:ascii="Calibri" w:hAnsi="Calibri"/>
          <w:color w:val="141B2E"/>
          <w:sz w:val="21"/>
        </w:rPr>
        <w:t>Передумови — навчений пакет і середовище виконання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3.  </w:t>
      </w:r>
      <w:r>
        <w:rPr>
          <w:rFonts w:ascii="Calibri" w:hAnsi="Calibri"/>
          <w:color w:val="141B2E"/>
          <w:sz w:val="21"/>
        </w:rPr>
        <w:t>Архітектура запуску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4.  </w:t>
      </w:r>
      <w:r>
        <w:rPr>
          <w:rFonts w:ascii="Calibri" w:hAnsi="Calibri"/>
          <w:color w:val="141B2E"/>
          <w:sz w:val="21"/>
        </w:rPr>
        <w:t>Готовий до розгортання пакет (що створило навчання)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5.  </w:t>
      </w:r>
      <w:r>
        <w:rPr>
          <w:rFonts w:ascii="Calibri" w:hAnsi="Calibri"/>
          <w:color w:val="141B2E"/>
          <w:sz w:val="21"/>
        </w:rPr>
        <w:t>Спрямуйте worker на згенеровану структуру нейромережі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6.  </w:t>
      </w:r>
      <w:r>
        <w:rPr>
          <w:rFonts w:ascii="Calibri" w:hAnsi="Calibri"/>
          <w:color w:val="141B2E"/>
          <w:sz w:val="21"/>
        </w:rPr>
        <w:t>Спакуйте JAR для розгортання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7.  </w:t>
      </w:r>
      <w:r>
        <w:rPr>
          <w:rFonts w:ascii="Calibri" w:hAnsi="Calibri"/>
          <w:color w:val="141B2E"/>
          <w:sz w:val="21"/>
        </w:rPr>
        <w:t>Конфігурація середовища: production-context.json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8.  </w:t>
      </w:r>
      <w:r>
        <w:rPr>
          <w:rFonts w:ascii="Calibri" w:hAnsi="Calibri"/>
          <w:color w:val="141B2E"/>
          <w:sz w:val="21"/>
        </w:rPr>
        <w:t>Налаштуйте джерела подій і потоковий вхід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9.  </w:t>
      </w:r>
      <w:r>
        <w:rPr>
          <w:rFonts w:ascii="Calibri" w:hAnsi="Calibri"/>
          <w:color w:val="141B2E"/>
          <w:sz w:val="21"/>
        </w:rPr>
        <w:t>Під'єднайте рекомендаційний вивід та запустіть worker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10.  </w:t>
      </w:r>
      <w:r>
        <w:rPr>
          <w:rFonts w:ascii="Calibri" w:hAnsi="Calibri"/>
          <w:color w:val="141B2E"/>
          <w:sz w:val="21"/>
        </w:rPr>
        <w:t>Межа керування й безпеки в промислі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11.  </w:t>
      </w:r>
      <w:r>
        <w:rPr>
          <w:rFonts w:ascii="Calibri" w:hAnsi="Calibri"/>
          <w:color w:val="141B2E"/>
          <w:sz w:val="21"/>
        </w:rPr>
        <w:t>Перехід: тінь → рекомендації → обмежена автономність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12.  </w:t>
      </w:r>
      <w:r>
        <w:rPr>
          <w:rFonts w:ascii="Calibri" w:hAnsi="Calibri"/>
          <w:color w:val="141B2E"/>
          <w:sz w:val="21"/>
        </w:rPr>
        <w:t>Моніторинг у промислі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13.  </w:t>
      </w:r>
      <w:r>
        <w:rPr>
          <w:rFonts w:ascii="Calibri" w:hAnsi="Calibri"/>
          <w:color w:val="141B2E"/>
          <w:sz w:val="21"/>
        </w:rPr>
        <w:t>Безпека, відкат і пакування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14.  </w:t>
      </w:r>
      <w:r>
        <w:rPr>
          <w:rFonts w:ascii="Calibri" w:hAnsi="Calibri"/>
          <w:color w:val="141B2E"/>
          <w:sz w:val="21"/>
        </w:rPr>
        <w:t>Усунення несправностей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15.  </w:t>
      </w:r>
      <w:r>
        <w:rPr>
          <w:rFonts w:ascii="Calibri" w:hAnsi="Calibri"/>
          <w:color w:val="141B2E"/>
          <w:sz w:val="21"/>
        </w:rPr>
        <w:t>Додаток — шпаргалка розгортання</w:t>
      </w:r>
    </w:p>
    <w:p>
      <w:r>
        <w:br w:type="page"/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  </w:t>
      </w:r>
      <w:r>
        <w:rPr>
          <w:rFonts w:ascii="Calibri" w:hAnsi="Calibri"/>
          <w:b/>
          <w:color w:val="102A54"/>
          <w:sz w:val="34"/>
        </w:rPr>
        <w:t>Чого ви досягнете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До кінця цього посібника ви візьмете </w:t>
      </w:r>
      <w:r>
        <w:rPr>
          <w:rFonts w:ascii="Calibri" w:hAnsi="Calibri"/>
          <w:b/>
          <w:i w:val="0"/>
          <w:color w:val="141B2E"/>
          <w:sz w:val="21"/>
        </w:rPr>
        <w:t>готову до розгортання мережу, створену Посібником з навчання</w:t>
      </w:r>
      <w:r>
        <w:rPr>
          <w:rFonts w:ascii="Calibri" w:hAnsi="Calibri"/>
          <w:i w:val="0"/>
          <w:color w:val="141B2E"/>
          <w:sz w:val="21"/>
        </w:rPr>
        <w:t xml:space="preserve"> — теку конфігурації рівнів/нейронів JNeopallium плюс готовий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 xml:space="preserve"> — і запустите її як безперервний </w:t>
      </w:r>
      <w:r>
        <w:rPr>
          <w:rFonts w:ascii="Calibri" w:hAnsi="Calibri"/>
          <w:b/>
          <w:i w:val="0"/>
          <w:color w:val="141B2E"/>
          <w:sz w:val="21"/>
        </w:rPr>
        <w:t>наглядовий рекомендаційний worker</w:t>
      </w:r>
      <w:r>
        <w:rPr>
          <w:rFonts w:ascii="Calibri" w:hAnsi="Calibri"/>
          <w:i w:val="0"/>
          <w:color w:val="141B2E"/>
          <w:sz w:val="21"/>
        </w:rPr>
        <w:t>, що діагностує знос насоса, коливання, дрейф датчиків і погіршення енергії та рекомендує, але ніколи автономно не керує.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BF1E0"/>
          <w:left w:val="single" w:sz="4" w:space="0" w:color="FBF1E0"/>
          <w:bottom w:val="single" w:sz="4" w:space="0" w:color="FBF1E0"/>
          <w:right w:val="single" w:sz="4" w:space="0" w:color="FBF1E0"/>
          <w:insideH w:val="single" w:sz="4" w:space="0" w:color="FBF1E0"/>
          <w:insideV w:val="single" w:sz="4" w:space="0" w:color="FBF1E0"/>
        </w:tblBorders>
      </w:tblPr>
      <w:tblGrid>
        <w:gridCol w:w="9173"/>
      </w:tblGrid>
      <w:tr>
        <w:tc>
          <w:tcPr>
            <w:tcW w:type="dxa" w:w="9173"/>
            <w:shd w:val="clear" w:color="auto" w:fill="FBF1E0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88A1A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C88A1A"/>
                <w:sz w:val="21"/>
              </w:rPr>
              <w:t>Стеля безпеки для всього посібника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Усе нижче працює в режимі ADVISORY, над PLC/PID/SIS. Worker може рекомендувати обслуговування, обмежені трими уставок та енергетичні дії; він не повинен керувати. Записи виконавчих механізмів OPC UA лишаються заблокованими, доки офлайн-відтворення, тіньовий пілот, рекомендаційна підписка та обґрунтування безпеки майданчика не пройдено.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2  </w:t>
      </w:r>
      <w:r>
        <w:rPr>
          <w:rFonts w:ascii="Calibri" w:hAnsi="Calibri"/>
          <w:b/>
          <w:color w:val="102A54"/>
          <w:sz w:val="34"/>
        </w:rPr>
        <w:t>Передумови — навчений пакет і середовище виконання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Навчена мережа</w:t>
      </w:r>
      <w:r>
        <w:rPr>
          <w:rFonts w:ascii="Calibri" w:hAnsi="Calibri"/>
          <w:i w:val="0"/>
          <w:color w:val="141B2E"/>
          <w:sz w:val="21"/>
        </w:rPr>
        <w:t xml:space="preserve"> з Посібника з навчання — тека артефактів із </w:t>
      </w:r>
      <w:r>
        <w:rPr>
          <w:rFonts w:ascii="Consolas" w:hAnsi="Consolas"/>
          <w:color w:val="102A54"/>
          <w:sz w:val="20"/>
        </w:rPr>
        <w:t>model-descriptor.json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layer-0.json</w:t>
      </w:r>
      <w:r>
        <w:rPr>
          <w:rFonts w:ascii="Calibri" w:hAnsi="Calibri"/>
          <w:i w:val="0"/>
          <w:color w:val="141B2E"/>
          <w:sz w:val="21"/>
        </w:rPr>
        <w:t xml:space="preserve"> … </w:t>
      </w:r>
      <w:r>
        <w:rPr>
          <w:rFonts w:ascii="Consolas" w:hAnsi="Consolas"/>
          <w:color w:val="102A54"/>
          <w:sz w:val="20"/>
        </w:rPr>
        <w:t>result-layer.json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trained-industrial-loop-guardian-model.json</w:t>
      </w:r>
      <w:r>
        <w:rPr>
          <w:rFonts w:ascii="Calibri" w:hAnsi="Calibri"/>
          <w:i w:val="0"/>
          <w:color w:val="141B2E"/>
          <w:sz w:val="21"/>
        </w:rPr>
        <w:t xml:space="preserve"> та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>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Java 17+</w:t>
      </w:r>
      <w:r>
        <w:rPr>
          <w:rFonts w:ascii="Calibri" w:hAnsi="Calibri"/>
          <w:i w:val="0"/>
          <w:color w:val="141B2E"/>
          <w:sz w:val="21"/>
        </w:rPr>
        <w:t xml:space="preserve"> і зібраний worker (</w:t>
      </w:r>
      <w:r>
        <w:rPr>
          <w:rFonts w:ascii="Consolas" w:hAnsi="Consolas"/>
          <w:color w:val="102A54"/>
          <w:sz w:val="20"/>
        </w:rPr>
        <w:t>worker-jar-with-dependencies.jar</w:t>
      </w:r>
      <w:r>
        <w:rPr>
          <w:rFonts w:ascii="Calibri" w:hAnsi="Calibri"/>
          <w:i w:val="0"/>
          <w:color w:val="141B2E"/>
          <w:sz w:val="21"/>
        </w:rPr>
        <w:t>).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Ваша телеметрія заводу</w:t>
      </w:r>
      <w:r>
        <w:rPr>
          <w:rFonts w:ascii="Calibri" w:hAnsi="Calibri"/>
          <w:i w:val="0"/>
          <w:color w:val="141B2E"/>
          <w:sz w:val="21"/>
        </w:rPr>
        <w:t xml:space="preserve"> — теги процесів OPC UA, телеметрія IIoT MQTT і за бажанням тіньовий потік Kafka та контекст CMMS / лічильника енергії.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Призначення виводу</w:t>
      </w:r>
      <w:r>
        <w:rPr>
          <w:rFonts w:ascii="Calibri" w:hAnsi="Calibri"/>
          <w:i w:val="0"/>
          <w:color w:val="141B2E"/>
          <w:sz w:val="21"/>
        </w:rPr>
        <w:t xml:space="preserve"> — приймач JSONL для тіньового режиму або Kafka / SIEM / CMMS / вебхук для видимих оператору рекомендацій.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Спершу навчання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Якщо у вас ще немає навченої мережі, виконайте супровідний Посібник з навчання. Розгортання споживає його вихідну теку напряму, включно з вбудованим </w:t>
            </w:r>
            <w:r>
              <w:rPr>
                <w:rFonts w:ascii="Consolas" w:hAnsi="Consolas"/>
                <w:color w:val="102A54"/>
                <w:sz w:val="19"/>
              </w:rPr>
              <w:t>production-context.json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>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3  </w:t>
      </w:r>
      <w:r>
        <w:rPr>
          <w:rFonts w:ascii="Calibri" w:hAnsi="Calibri"/>
          <w:b/>
          <w:color w:val="102A54"/>
          <w:sz w:val="34"/>
        </w:rPr>
        <w:t>Архітектура запуску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Промислове розгортання використовує справжній вхідний пункт worker із чотирма аргументами: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java com.rakovpublic.jneuropallium.worker.application.Entry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&lt;mode&gt; &lt;model-jar-url&gt; &lt;context-class&gt; &lt;context-json-or-path&gt;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2592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Аргумент</w:t>
            </w:r>
          </w:p>
        </w:tc>
        <w:tc>
          <w:tcPr>
            <w:tcW w:type="dxa" w:w="360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Значення</w:t>
            </w:r>
          </w:p>
        </w:tc>
        <w:tc>
          <w:tcPr>
            <w:tcW w:type="dxa" w:w="360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Приклад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Топологія розгортання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local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http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grpc-client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grpc-master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model-jar-url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URL вашого JAR для розгортання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file:///opt/jneopallium/industrial-loop-guardian.jar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context-class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Реалізація </w:t>
            </w:r>
            <w:r>
              <w:rPr>
                <w:rFonts w:ascii="Consolas" w:hAnsi="Consolas"/>
                <w:color w:val="102A54"/>
                <w:sz w:val="18"/>
              </w:rPr>
              <w:t>IContext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…runtime.DemoJsonContext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context-json-or-path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Вбудований JSON або шлях до файлу JSON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…/production-context.json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onsolas" w:hAnsi="Consolas"/>
          <w:color w:val="102A54"/>
          <w:sz w:val="20"/>
        </w:rPr>
        <w:t>Entry</w:t>
      </w:r>
      <w:r>
        <w:rPr>
          <w:rFonts w:ascii="Calibri" w:hAnsi="Calibri"/>
          <w:i w:val="0"/>
          <w:color w:val="141B2E"/>
          <w:sz w:val="21"/>
        </w:rPr>
        <w:t xml:space="preserve"> десеріалізує контекст класом контексту, завантажує JAR моделі в ізольований завантажувач класів, потім відображає </w:t>
      </w:r>
      <w:r>
        <w:rPr>
          <w:rFonts w:ascii="Consolas" w:hAnsi="Consolas"/>
          <w:color w:val="102A54"/>
          <w:sz w:val="20"/>
        </w:rPr>
        <w:t>local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http</w:t>
      </w:r>
      <w:r>
        <w:rPr>
          <w:rFonts w:ascii="Calibri" w:hAnsi="Calibri"/>
          <w:i w:val="0"/>
          <w:color w:val="141B2E"/>
          <w:sz w:val="21"/>
        </w:rPr>
        <w:t xml:space="preserve"> чи </w:t>
      </w:r>
      <w:r>
        <w:rPr>
          <w:rFonts w:ascii="Consolas" w:hAnsi="Consolas"/>
          <w:color w:val="102A54"/>
          <w:sz w:val="20"/>
        </w:rPr>
        <w:t>grpc</w:t>
      </w:r>
      <w:r>
        <w:rPr>
          <w:rFonts w:ascii="Calibri" w:hAnsi="Calibri"/>
          <w:i w:val="0"/>
          <w:color w:val="141B2E"/>
          <w:sz w:val="21"/>
        </w:rPr>
        <w:t xml:space="preserve"> на </w:t>
      </w:r>
      <w:r>
        <w:rPr>
          <w:rFonts w:ascii="Consolas" w:hAnsi="Consolas"/>
          <w:color w:val="102A54"/>
          <w:sz w:val="20"/>
        </w:rPr>
        <w:t>LocalApplication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HttpClusterApplication</w:t>
      </w:r>
      <w:r>
        <w:rPr>
          <w:rFonts w:ascii="Calibri" w:hAnsi="Calibri"/>
          <w:i w:val="0"/>
          <w:color w:val="141B2E"/>
          <w:sz w:val="21"/>
        </w:rPr>
        <w:t xml:space="preserve"> чи шлях сервера gRPC — ті самі топології, що в архітектурі.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4  </w:t>
      </w:r>
      <w:r>
        <w:rPr>
          <w:rFonts w:ascii="Calibri" w:hAnsi="Calibri"/>
          <w:b/>
          <w:color w:val="102A54"/>
          <w:sz w:val="34"/>
        </w:rPr>
        <w:t>Готовий до розгортання пакет (що створило навчання)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Тренер видає </w:t>
      </w:r>
      <w:r>
        <w:rPr>
          <w:rFonts w:ascii="Calibri" w:hAnsi="Calibri"/>
          <w:b/>
          <w:i w:val="0"/>
          <w:color w:val="141B2E"/>
          <w:sz w:val="21"/>
        </w:rPr>
        <w:t>власне мережу JNeopallium</w:t>
      </w:r>
      <w:r>
        <w:rPr>
          <w:rFonts w:ascii="Calibri" w:hAnsi="Calibri"/>
          <w:i w:val="0"/>
          <w:color w:val="141B2E"/>
          <w:sz w:val="21"/>
        </w:rPr>
        <w:t>, а не абстрактну модель. П'ять файлів рівнів плюс опис — це те, з чого завантажується worker: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60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Артефакт</w:t>
            </w:r>
          </w:p>
        </w:tc>
        <w:tc>
          <w:tcPr>
            <w:tcW w:type="dxa" w:w="518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Роль під час розгортання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model-descriptor.json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Карта всієї мережі: 5 рівнів, 17 нейронів, мапа частот, класи часу виконання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layer-0.json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Межа входу заводу + наглядового контексту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layer-1-fast-telemetry.json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Валідація швидкої телеметрії і стан контуру (7 нейронів)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layer-2-maintenance-energy.json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Чотири навчені діагностичні голови висновків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layer-3-advisory-planning.json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Економічне планування + фіксований запобіжник (4 нейрони)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result-layer.json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Вивід промислових рекомендацій JSONL (2 нейрони)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production-context.json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Готовий контекст рекомендаційного worker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Уся мережа: </w:t>
      </w:r>
      <w:r>
        <w:rPr>
          <w:rFonts w:ascii="Calibri" w:hAnsi="Calibri"/>
          <w:b/>
          <w:i w:val="0"/>
          <w:color w:val="141B2E"/>
          <w:sz w:val="21"/>
        </w:rPr>
        <w:t>5 рівнів, 17 справжніх нейронів, 156 навчуваних ваг, 4 зсуви</w:t>
      </w:r>
      <w:r>
        <w:rPr>
          <w:rFonts w:ascii="Calibri" w:hAnsi="Calibri"/>
          <w:i w:val="0"/>
          <w:color w:val="141B2E"/>
          <w:sz w:val="21"/>
        </w:rPr>
        <w:t>. Кожен нейрон називає конкретний клас із промислового пакета worker — розгортання спрямовує worker на цю теку, а не реалізує щось наново.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5  </w:t>
      </w:r>
      <w:r>
        <w:rPr>
          <w:rFonts w:ascii="Calibri" w:hAnsi="Calibri"/>
          <w:b/>
          <w:color w:val="102A54"/>
          <w:sz w:val="34"/>
        </w:rPr>
        <w:t>Спрямуйте worker на згенеровану структуру нейромережі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Структуру нейромережі </w:t>
      </w:r>
      <w:r>
        <w:rPr>
          <w:rFonts w:ascii="Calibri" w:hAnsi="Calibri"/>
          <w:b/>
          <w:i w:val="0"/>
          <w:color w:val="141B2E"/>
          <w:sz w:val="21"/>
        </w:rPr>
        <w:t>генерує навчання</w:t>
      </w:r>
      <w:r>
        <w:rPr>
          <w:rFonts w:ascii="Calibri" w:hAnsi="Calibri"/>
          <w:i w:val="0"/>
          <w:color w:val="141B2E"/>
          <w:sz w:val="21"/>
        </w:rPr>
        <w:t xml:space="preserve">, а не пишуть вручну. </w:t>
      </w:r>
      <w:r>
        <w:rPr>
          <w:rFonts w:ascii="Consolas" w:hAnsi="Consolas"/>
          <w:color w:val="102A54"/>
          <w:sz w:val="20"/>
        </w:rPr>
        <w:t>configuration.input.layermeta</w:t>
      </w:r>
      <w:r>
        <w:rPr>
          <w:rFonts w:ascii="Calibri" w:hAnsi="Calibri"/>
          <w:i w:val="0"/>
          <w:color w:val="141B2E"/>
          <w:sz w:val="21"/>
        </w:rPr>
        <w:t xml:space="preserve"> (заданий у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 xml:space="preserve"> як </w:t>
      </w:r>
      <w:r>
        <w:rPr>
          <w:rFonts w:ascii="Consolas" w:hAnsi="Consolas"/>
          <w:color w:val="102A54"/>
          <w:sz w:val="20"/>
        </w:rPr>
        <w:t>model/industrial-loop-guardian/</w:t>
      </w:r>
      <w:r>
        <w:rPr>
          <w:rFonts w:ascii="Calibri" w:hAnsi="Calibri"/>
          <w:i w:val="0"/>
          <w:color w:val="141B2E"/>
          <w:sz w:val="21"/>
        </w:rPr>
        <w:t>) вказує на теку з п'ятьма файлами рівнів, і worker завантажує мережу напряму. Кожен файл — справжній рівень справжніх нейронів: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374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Файл рівня</w:t>
            </w:r>
          </w:p>
        </w:tc>
        <w:tc>
          <w:tcPr>
            <w:tcW w:type="dxa" w:w="604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Справжні класи нейронів / роль</w:t>
            </w:r>
          </w:p>
        </w:tc>
      </w:tr>
      <w:tr>
        <w:tc>
          <w:tcPr>
            <w:tcW w:type="dxa" w:w="374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layer-1-fast-telemetry.json</w:t>
            </w:r>
          </w:p>
        </w:tc>
        <w:tc>
          <w:tcPr>
            <w:tcW w:type="dxa" w:w="60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SensorNeuron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MeasurementValidatorNeuron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OscillationMonitorNeuron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>, …</w:t>
            </w:r>
          </w:p>
        </w:tc>
      </w:tr>
      <w:tr>
        <w:tc>
          <w:tcPr>
            <w:tcW w:type="dxa" w:w="374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layer-2-maintenance-energy.json</w:t>
            </w:r>
          </w:p>
        </w:tc>
        <w:tc>
          <w:tcPr>
            <w:tcW w:type="dxa" w:w="60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DegradationModelNeuron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EnergyAccountingNeuron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— чотири голови</w:t>
            </w:r>
          </w:p>
        </w:tc>
      </w:tr>
      <w:tr>
        <w:tc>
          <w:tcPr>
            <w:tcW w:type="dxa" w:w="374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layer-3-advisory-planning.json</w:t>
            </w:r>
          </w:p>
        </w:tc>
        <w:tc>
          <w:tcPr>
            <w:tcW w:type="dxa" w:w="60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MaintenanceSchedulingNeuron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SetpointOptimiserNeuron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SafetyGateNeuron</w:t>
            </w:r>
          </w:p>
        </w:tc>
      </w:tr>
      <w:tr>
        <w:tc>
          <w:tcPr>
            <w:tcW w:type="dxa" w:w="374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result-layer.json</w:t>
            </w:r>
          </w:p>
        </w:tc>
        <w:tc>
          <w:tcPr>
            <w:tcW w:type="dxa" w:w="60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Нейрони виводу рекомендаційного JSONL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Діагностичні голови вбудовують усе, що вивчила модель, готове до запуску — навчені ваги, дозволений кожній </w:t>
      </w:r>
      <w:r>
        <w:rPr>
          <w:rFonts w:ascii="Consolas" w:hAnsi="Consolas"/>
          <w:color w:val="102A54"/>
          <w:sz w:val="20"/>
        </w:rPr>
        <w:t>featureGate</w:t>
      </w:r>
      <w:r>
        <w:rPr>
          <w:rFonts w:ascii="Calibri" w:hAnsi="Calibri"/>
          <w:i w:val="0"/>
          <w:color w:val="141B2E"/>
          <w:sz w:val="21"/>
        </w:rPr>
        <w:t xml:space="preserve">, її </w:t>
      </w:r>
      <w:r>
        <w:rPr>
          <w:rFonts w:ascii="Consolas" w:hAnsi="Consolas"/>
          <w:color w:val="102A54"/>
          <w:sz w:val="20"/>
        </w:rPr>
        <w:t>logicalNeuronRole</w:t>
      </w:r>
      <w:r>
        <w:rPr>
          <w:rFonts w:ascii="Calibri" w:hAnsi="Calibri"/>
          <w:i w:val="0"/>
          <w:color w:val="141B2E"/>
          <w:sz w:val="21"/>
        </w:rPr>
        <w:t xml:space="preserve"> та </w:t>
      </w:r>
      <w:r>
        <w:rPr>
          <w:rFonts w:ascii="Consolas" w:hAnsi="Consolas"/>
          <w:color w:val="102A54"/>
          <w:sz w:val="20"/>
        </w:rPr>
        <w:t>ownedReasoning</w:t>
      </w:r>
      <w:r>
        <w:rPr>
          <w:rFonts w:ascii="Calibri" w:hAnsi="Calibri"/>
          <w:i w:val="0"/>
          <w:color w:val="141B2E"/>
          <w:sz w:val="21"/>
        </w:rPr>
        <w:t xml:space="preserve"> — тож рецензент підтверджує, що логіка живе всередині моделі, а не в сполучному коді.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8F3EC"/>
          <w:left w:val="single" w:sz="4" w:space="0" w:color="E8F3EC"/>
          <w:bottom w:val="single" w:sz="4" w:space="0" w:color="E8F3EC"/>
          <w:right w:val="single" w:sz="4" w:space="0" w:color="E8F3EC"/>
          <w:insideH w:val="single" w:sz="4" w:space="0" w:color="E8F3EC"/>
          <w:insideV w:val="single" w:sz="4" w:space="0" w:color="E8F3EC"/>
        </w:tblBorders>
      </w:tblPr>
      <w:tblGrid>
        <w:gridCol w:w="9173"/>
      </w:tblGrid>
      <w:tr>
        <w:tc>
          <w:tcPr>
            <w:tcW w:type="dxa" w:w="9173"/>
            <w:shd w:val="clear" w:color="auto" w:fill="E8F3EC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F7A3D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3D"/>
                <w:sz w:val="21"/>
              </w:rPr>
              <w:t>Без кроку перекладу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Оскільки структуру згенеровано з уже вбудованими навченими головами, те, що ви розгортаєте, — це саме те, що навчили й протестували: ті самі ваги, ті самі фільтри ознак, ті самі смуги відповіді, той самий фіксований запобіжник.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6  </w:t>
      </w:r>
      <w:r>
        <w:rPr>
          <w:rFonts w:ascii="Calibri" w:hAnsi="Calibri"/>
          <w:b/>
          <w:color w:val="102A54"/>
          <w:sz w:val="34"/>
        </w:rPr>
        <w:t>Спакуйте JAR для розгортання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Класи нейронів, процесорів і сигналів, на які посилається структура, </w:t>
      </w:r>
      <w:r>
        <w:rPr>
          <w:rFonts w:ascii="Calibri" w:hAnsi="Calibri"/>
          <w:b/>
          <w:i w:val="0"/>
          <w:color w:val="141B2E"/>
          <w:sz w:val="21"/>
        </w:rPr>
        <w:t>вже постачаються в промисловому модулі worker</w:t>
      </w:r>
      <w:r>
        <w:rPr>
          <w:rFonts w:ascii="Calibri" w:hAnsi="Calibri"/>
          <w:i w:val="0"/>
          <w:color w:val="141B2E"/>
          <w:sz w:val="21"/>
        </w:rPr>
        <w:t>, тож ви їх не реалізуєте наново. Спакуйте для розгортання: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230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Компонент</w:t>
            </w:r>
          </w:p>
        </w:tc>
        <w:tc>
          <w:tcPr>
            <w:tcW w:type="dxa" w:w="748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Вміст</w:t>
            </w:r>
          </w:p>
        </w:tc>
      </w:tr>
      <w:tr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Типізовані сигнали</w:t>
            </w:r>
          </w:p>
        </w:tc>
        <w:tc>
          <w:tcPr>
            <w:tcW w:type="dxa" w:w="74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MeasurementSignal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AlarmSignal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DegradationSignal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EfficiencySignal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MaintenanceWindowSignal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SetpointSignal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InterlockSignal</w:t>
            </w:r>
          </w:p>
        </w:tc>
      </w:tr>
      <w:tr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Нейрони</w:t>
            </w:r>
          </w:p>
        </w:tc>
        <w:tc>
          <w:tcPr>
            <w:tcW w:type="dxa" w:w="74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SensorNeuron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MeasurementValidatorNeuron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OscillationMonitorNeuron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DegradationModelNeuron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MaintenanceSchedulingNeuron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EnergyAccountingNeuron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SetpointOptimiserNeuron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, </w:t>
            </w:r>
            <w:r>
              <w:rPr>
                <w:rFonts w:ascii="Consolas" w:hAnsi="Consolas"/>
                <w:color w:val="102A54"/>
                <w:sz w:val="18"/>
              </w:rPr>
              <w:t>SafetyGateNeuron</w:t>
            </w:r>
          </w:p>
        </w:tc>
      </w:tr>
      <w:tr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Процесори</w:t>
            </w:r>
          </w:p>
        </w:tc>
        <w:tc>
          <w:tcPr>
            <w:tcW w:type="dxa" w:w="74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валідація, коливання/заклинювання, планування деградації, планування вікон обслуговування, оптимізація ефективності, запобіжник, диспетчеризація</w:t>
            </w:r>
          </w:p>
        </w:tc>
      </w:tr>
      <w:tr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Джерела</w:t>
            </w:r>
          </w:p>
        </w:tc>
        <w:tc>
          <w:tcPr>
            <w:tcW w:type="dxa" w:w="74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вимірювання/тривоги OPC UA, телеметрія MQTT, тіньовий Kafka, CMMS, контекст лічильника енергії</w:t>
            </w:r>
          </w:p>
        </w:tc>
      </w:tr>
      <w:tr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Приймачі</w:t>
            </w:r>
          </w:p>
        </w:tc>
        <w:tc>
          <w:tcPr>
            <w:tcW w:type="dxa" w:w="74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приймач аудиту JSONL, адаптер Kafka/SIEM/вебхук; приймач команд OPC UA лише з обґрунтуванням безпеки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Перевірка класів із швидкою помилкою</w:t>
            </w:r>
          </w:p>
          <w:p>
            <w:pPr>
              <w:spacing w:after="0"/>
            </w:pPr>
            <w:r>
              <w:rPr>
                <w:rFonts w:ascii="Consolas" w:hAnsi="Consolas"/>
                <w:color w:val="102A54"/>
                <w:sz w:val="19"/>
              </w:rPr>
              <w:t>production-context.json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задає </w:t>
            </w:r>
            <w:r>
              <w:rPr>
                <w:rFonts w:ascii="Consolas" w:hAnsi="Consolas"/>
                <w:color w:val="102A54"/>
                <w:sz w:val="19"/>
              </w:rPr>
              <w:t>configuration.neuronnet.classes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повним переліком класів часу виконання. Під час запуску </w:t>
            </w:r>
            <w:r>
              <w:rPr>
                <w:rFonts w:ascii="Consolas" w:hAnsi="Consolas"/>
                <w:color w:val="102A54"/>
                <w:sz w:val="19"/>
              </w:rPr>
              <w:t>LocalApplication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перевіряє наявність кожного в JAR і переривається, якщо пакет неповний.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7  </w:t>
      </w:r>
      <w:r>
        <w:rPr>
          <w:rFonts w:ascii="Calibri" w:hAnsi="Calibri"/>
          <w:b/>
          <w:color w:val="102A54"/>
          <w:sz w:val="34"/>
        </w:rPr>
        <w:t>Конфігурація середовища: production-context.json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Тренер генерує готовий контекст. Він має стандартну форму </w:t>
      </w:r>
      <w:r>
        <w:rPr>
          <w:rFonts w:ascii="Consolas" w:hAnsi="Consolas"/>
          <w:color w:val="102A54"/>
          <w:sz w:val="20"/>
        </w:rPr>
        <w:t>{"properties": { … }}</w:t>
      </w:r>
      <w:r>
        <w:rPr>
          <w:rFonts w:ascii="Calibri" w:hAnsi="Calibri"/>
          <w:i w:val="0"/>
          <w:color w:val="141B2E"/>
          <w:sz w:val="21"/>
        </w:rPr>
        <w:t xml:space="preserve"> і вже кодує налаштування рекомендаційного циклу. Критичні ключі: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896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Ключ</w:t>
            </w:r>
          </w:p>
        </w:tc>
        <w:tc>
          <w:tcPr>
            <w:tcW w:type="dxa" w:w="4896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Промислове значення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configuration.input.layermeta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model/industrial-loop-guardian/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(згенерована тека рівнів)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configuration.isteacherstudying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false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configuration.discriminatorsAmount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0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configuration.infiniteRun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true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configuration.runoncein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1000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мс (один рекомендаційний такт на секунду)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configuration.processing.frequency.map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швидкі теги щоцикл; деградація/енергія кожні 10; обслуговування кожні 60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configuration.outputAggregator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JsonlResultAggregator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(замініть на ваш приймач SIEM/Kafka)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industrial.autonomousAction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false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industrial.opcua.role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bounded-local-actuator-path</w:t>
            </w:r>
          </w:p>
        </w:tc>
      </w:tr>
      <w:tr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industrial.mqtt.role</w:t>
            </w:r>
          </w:p>
        </w:tc>
        <w:tc>
          <w:tcPr>
            <w:tcW w:type="dxa" w:w="48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telemetry-and-advisory-only</w:t>
            </w:r>
          </w:p>
        </w:tc>
      </w:tr>
      <w:tr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industrial.neuronOwnedLogic</w:t>
            </w:r>
          </w:p>
        </w:tc>
        <w:tc>
          <w:tcPr>
            <w:tcW w:type="dxa" w:w="48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діагностика, економічний базис, межа безпеки, обмежена рекомендація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8F3EC"/>
          <w:left w:val="single" w:sz="4" w:space="0" w:color="E8F3EC"/>
          <w:bottom w:val="single" w:sz="4" w:space="0" w:color="E8F3EC"/>
          <w:right w:val="single" w:sz="4" w:space="0" w:color="E8F3EC"/>
          <w:insideH w:val="single" w:sz="4" w:space="0" w:color="E8F3EC"/>
          <w:insideV w:val="single" w:sz="4" w:space="0" w:color="E8F3EC"/>
        </w:tblBorders>
      </w:tblPr>
      <w:tblGrid>
        <w:gridCol w:w="9173"/>
      </w:tblGrid>
      <w:tr>
        <w:tc>
          <w:tcPr>
            <w:tcW w:type="dxa" w:w="9173"/>
            <w:shd w:val="clear" w:color="auto" w:fill="E8F3EC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F7A3D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3D"/>
                <w:sz w:val="21"/>
              </w:rPr>
              <w:t>Безперервний рекомендаційний цикл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Разом </w:t>
            </w:r>
            <w:r>
              <w:rPr>
                <w:rFonts w:ascii="Consolas" w:hAnsi="Consolas"/>
                <w:color w:val="102A54"/>
                <w:sz w:val="19"/>
              </w:rPr>
              <w:t>isteacherstudying=false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, </w:t>
            </w:r>
            <w:r>
              <w:rPr>
                <w:rFonts w:ascii="Consolas" w:hAnsi="Consolas"/>
                <w:color w:val="102A54"/>
                <w:sz w:val="19"/>
              </w:rPr>
              <w:t>discriminatorsAmount=0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та </w:t>
            </w:r>
            <w:r>
              <w:rPr>
                <w:rFonts w:ascii="Consolas" w:hAnsi="Consolas"/>
                <w:color w:val="102A54"/>
                <w:sz w:val="19"/>
              </w:rPr>
              <w:t>infiniteRun=true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переводять worker у безперервний рекомендаційний цикл. </w:t>
            </w:r>
            <w:r>
              <w:rPr>
                <w:rFonts w:ascii="Consolas" w:hAnsi="Consolas"/>
                <w:color w:val="102A54"/>
                <w:sz w:val="19"/>
              </w:rPr>
              <w:t>runoncein=1000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задає темп одного такту на секунду, перш ніж мапа частот фанить швидкі й повільні сигнали за їхніми кадансами.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8  </w:t>
      </w:r>
      <w:r>
        <w:rPr>
          <w:rFonts w:ascii="Calibri" w:hAnsi="Calibri"/>
          <w:b/>
          <w:color w:val="102A54"/>
          <w:sz w:val="34"/>
        </w:rPr>
        <w:t>Налаштуйте джерела подій і потоковий вхід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Пакетне відтворення використовує детерміновані траси FMI. Для промислу під'єднайте специфічний для майданчика </w:t>
      </w:r>
      <w:r>
        <w:rPr>
          <w:rFonts w:ascii="Consolas" w:hAnsi="Consolas"/>
          <w:color w:val="102A54"/>
          <w:sz w:val="20"/>
        </w:rPr>
        <w:t>IInitInput</w:t>
      </w:r>
      <w:r>
        <w:rPr>
          <w:rFonts w:ascii="Calibri" w:hAnsi="Calibri"/>
          <w:i w:val="0"/>
          <w:color w:val="141B2E"/>
          <w:sz w:val="21"/>
        </w:rPr>
        <w:t>, що перетворює ваші записи Kafka, OPC UA чи MQTT на типізовані промислові сигнали, зберігаючи час події. Рекомендовані групи тем Kafka: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60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Група тем</w:t>
            </w:r>
          </w:p>
        </w:tc>
        <w:tc>
          <w:tcPr>
            <w:tcW w:type="dxa" w:w="518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Відображається на сигнал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plant.telemetry.measurements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MeasurementSignal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plant.telemetry.alarms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AlarmSignal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plant.maintenance.events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DegradationSignal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/ контекст обслуговування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plant.energy.meters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EfficiencySignal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plant.cmms.workorders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MaintenanceWindowSignal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/ історія обслуговування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Тримайте каданс потоку узгодженим із </w:t>
      </w:r>
      <w:r>
        <w:rPr>
          <w:rFonts w:ascii="Consolas" w:hAnsi="Consolas"/>
          <w:color w:val="102A54"/>
          <w:sz w:val="20"/>
        </w:rPr>
        <w:t>configuration.processing.frequency.map</w:t>
      </w:r>
      <w:r>
        <w:rPr>
          <w:rFonts w:ascii="Calibri" w:hAnsi="Calibri"/>
          <w:i w:val="0"/>
          <w:color w:val="141B2E"/>
          <w:sz w:val="21"/>
        </w:rPr>
        <w:t>: швидкі теги щоцикл; висновки з обслуговування й енергії кожні 10–60 циклів. Оскільки кореляція ведеться за часом події, запізніла чи невпорядкована телеметрія все одно потрапляє в правильне місце.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9  </w:t>
      </w:r>
      <w:r>
        <w:rPr>
          <w:rFonts w:ascii="Calibri" w:hAnsi="Calibri"/>
          <w:b/>
          <w:color w:val="102A54"/>
          <w:sz w:val="34"/>
        </w:rPr>
        <w:t>Під'єднайте рекомендаційний вивід та запустіть worker</w:t>
      </w:r>
    </w:p>
    <w:p>
      <w:pPr>
        <w:spacing w:after="120"/>
      </w:pPr>
      <w:r>
        <w:rPr>
          <w:rFonts w:ascii="Consolas" w:hAnsi="Consolas"/>
          <w:color w:val="102A54"/>
          <w:sz w:val="20"/>
        </w:rPr>
        <w:t>configuration.outputAggregator</w:t>
      </w:r>
      <w:r>
        <w:rPr>
          <w:rFonts w:ascii="Calibri" w:hAnsi="Calibri"/>
          <w:i w:val="0"/>
          <w:color w:val="141B2E"/>
          <w:sz w:val="21"/>
        </w:rPr>
        <w:t xml:space="preserve"> вказує </w:t>
      </w:r>
      <w:r>
        <w:rPr>
          <w:rFonts w:ascii="Consolas" w:hAnsi="Consolas"/>
          <w:color w:val="102A54"/>
          <w:sz w:val="20"/>
        </w:rPr>
        <w:t>IOutputAggregator</w:t>
      </w:r>
      <w:r>
        <w:rPr>
          <w:rFonts w:ascii="Calibri" w:hAnsi="Calibri"/>
          <w:i w:val="0"/>
          <w:color w:val="141B2E"/>
          <w:sz w:val="21"/>
        </w:rPr>
        <w:t xml:space="preserve">, що викликається щоцикл із рекомендаціями мережі. Вбудований </w:t>
      </w:r>
      <w:r>
        <w:rPr>
          <w:rFonts w:ascii="Consolas" w:hAnsi="Consolas"/>
          <w:color w:val="102A54"/>
          <w:sz w:val="20"/>
        </w:rPr>
        <w:t>JsonlResultAggregator</w:t>
      </w:r>
      <w:r>
        <w:rPr>
          <w:rFonts w:ascii="Calibri" w:hAnsi="Calibri"/>
          <w:i w:val="0"/>
          <w:color w:val="141B2E"/>
          <w:sz w:val="21"/>
        </w:rPr>
        <w:t xml:space="preserve"> записує рекомендаційний JSONL — ідеально для приймача аудиту тіньового режиму. Кожна рекомендація несе повне міркування й економічний базис: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{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"asset": "P-101",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"finding": "pump wear and cavitation risk",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"confidence": 0.73,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"evidence": { "neuron": "PumpHealthAndEfficiencyNeuron", "maxVibrationRms": 4.3 },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"recommendation": "SCHEDULE_PUMP_INSPECTION",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"recommendedAction": "Inspect P-101 impeller and suction strainer.",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"urgencyHours": 48,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"economicBasis": { "neuron": "EconomicBasisNeuron",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                 "estimatedAvoidedShutdownValueUsd": 20000,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                 "safetyEnvelopeSatisfied": true },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"controlBoundary": { "plcPidSis": "deterministic control and hard safety remain authoritative",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                   "jneopallium": "supervisory diagnosis and bounded recommendations" },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"autonomousAction": false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}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Для промислу пересилайте цей JSONL у вашу SIEM, тему Kafka, CMMS чи вебхук. Потім запустіть worker (роздільник classpath: </w:t>
      </w:r>
      <w:r>
        <w:rPr>
          <w:rFonts w:ascii="Consolas" w:hAnsi="Consolas"/>
          <w:color w:val="102A54"/>
          <w:sz w:val="20"/>
        </w:rPr>
        <w:t>;</w:t>
      </w:r>
      <w:r>
        <w:rPr>
          <w:rFonts w:ascii="Calibri" w:hAnsi="Calibri"/>
          <w:i w:val="0"/>
          <w:color w:val="141B2E"/>
          <w:sz w:val="21"/>
        </w:rPr>
        <w:t xml:space="preserve"> у Windows, </w:t>
      </w:r>
      <w:r>
        <w:rPr>
          <w:rFonts w:ascii="Consolas" w:hAnsi="Consolas"/>
          <w:color w:val="102A54"/>
          <w:sz w:val="20"/>
        </w:rPr>
        <w:t>:</w:t>
      </w:r>
      <w:r>
        <w:rPr>
          <w:rFonts w:ascii="Calibri" w:hAnsi="Calibri"/>
          <w:i w:val="0"/>
          <w:color w:val="141B2E"/>
          <w:sz w:val="21"/>
        </w:rPr>
        <w:t xml:space="preserve"> у Linux/macOS):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java -cp worker/target/worker-jar-with-dependencies.jar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com.rakovpublic.jneuropallium.worker.application.Entry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local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file:///opt/jneopallium/industrial-loop-guardian.jar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com.rakovpublic.jneuropallium.worker.demo.fullrun.runtime.DemoJsonContext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/opt/jneopallium/model/industrial-loop-guardian/production-context.json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10  </w:t>
      </w:r>
      <w:r>
        <w:rPr>
          <w:rFonts w:ascii="Calibri" w:hAnsi="Calibri"/>
          <w:b/>
          <w:color w:val="102A54"/>
          <w:sz w:val="34"/>
        </w:rPr>
        <w:t>Межа керування й безпеки в промислі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Межа, яку забезпечує демо, — це межа, яку ви тримаєте в промислі. Саме вона робить продукт страхованим і легким для валідації: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PLC / PID / SIS</w:t>
      </w:r>
      <w:r>
        <w:rPr>
          <w:rFonts w:ascii="Calibri" w:hAnsi="Calibri"/>
          <w:i w:val="0"/>
          <w:color w:val="141B2E"/>
          <w:sz w:val="21"/>
        </w:rPr>
        <w:t xml:space="preserve"> володіють детермінованим мілісекундним керуванням і жорсткою безпекою. Завжди авторитетні.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OPC UA</w:t>
      </w:r>
      <w:r>
        <w:rPr>
          <w:rFonts w:ascii="Calibri" w:hAnsi="Calibri"/>
          <w:i w:val="0"/>
          <w:color w:val="141B2E"/>
          <w:sz w:val="21"/>
        </w:rPr>
        <w:t xml:space="preserve"> — єдиний обмежений шлях виконавчих механізмів, і лише коли обґрунтування безпеки дозволяє записи. Три командні вузли; кожен запис проходить ланцюг пріоритету нижче.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MQTT</w:t>
      </w:r>
      <w:r>
        <w:rPr>
          <w:rFonts w:ascii="Calibri" w:hAnsi="Calibri"/>
          <w:i w:val="0"/>
          <w:color w:val="141B2E"/>
          <w:sz w:val="21"/>
        </w:rPr>
        <w:t xml:space="preserve"> — лише телеметрія й рекомендації; міст структурно відхиляє AUTONOMOUS.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жорсткий інтерлок -&gt; локальний fail-safe -&gt; перевизначення оператора -&gt; режим безпеки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-&gt; валідація/якість -&gt; обмеження -&gt; ліміт рампи -&gt; придушення різниці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-&gt; запис OPC UA -&gt; аудит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Безпечні значення при втраті: клапан охолодження 100% відкрито, швидкість насоса 30%, потужність нагрівача 0%. При втраті OPC UA скід застосовує їх локально; при втраті MQTT доступність швидкого контуру лишається 1.0.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11  </w:t>
      </w:r>
      <w:r>
        <w:rPr>
          <w:rFonts w:ascii="Calibri" w:hAnsi="Calibri"/>
          <w:b/>
          <w:color w:val="102A54"/>
          <w:sz w:val="34"/>
        </w:rPr>
        <w:t>Перехід: тінь → рекомендації → обмежена автономність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Переходьте поступово. Кожен крок заслуговує наступний; записи OPC UA лишаються заблокованими, доки вся послідовність не пройдена.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1.  </w:t>
      </w:r>
      <w:r>
        <w:rPr>
          <w:rFonts w:ascii="Calibri" w:hAnsi="Calibri"/>
          <w:b/>
          <w:i w:val="0"/>
          <w:color w:val="141B2E"/>
          <w:sz w:val="21"/>
        </w:rPr>
        <w:t>Офлайн-відтворення.</w:t>
      </w:r>
      <w:r>
        <w:rPr>
          <w:rFonts w:ascii="Calibri" w:hAnsi="Calibri"/>
          <w:i w:val="0"/>
          <w:color w:val="141B2E"/>
          <w:sz w:val="21"/>
        </w:rPr>
        <w:t xml:space="preserve"> Аналізуйте експортовані дані історіана / OPC UA / MQTT без підключення до промислу. Видайте виявлені аномалії, хронологію подій, оцінений фінансовий вплив і перегляд хибних спрацювань.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2.  </w:t>
      </w:r>
      <w:r>
        <w:rPr>
          <w:rFonts w:ascii="Calibri" w:hAnsi="Calibri"/>
          <w:b/>
          <w:i w:val="0"/>
          <w:color w:val="141B2E"/>
          <w:sz w:val="21"/>
        </w:rPr>
        <w:t>Тіньовий пілот.</w:t>
      </w:r>
      <w:r>
        <w:rPr>
          <w:rFonts w:ascii="Calibri" w:hAnsi="Calibri"/>
          <w:i w:val="0"/>
          <w:color w:val="141B2E"/>
          <w:sz w:val="21"/>
        </w:rPr>
        <w:t xml:space="preserve"> Підключення до заводу лише для читання, без записів виконавчих механізмів. Порівняйте рекомендації з фактичними подальшими результатами й базовою лінією простого алгоритму.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3.  </w:t>
      </w:r>
      <w:r>
        <w:rPr>
          <w:rFonts w:ascii="Calibri" w:hAnsi="Calibri"/>
          <w:b/>
          <w:i w:val="0"/>
          <w:color w:val="141B2E"/>
          <w:sz w:val="21"/>
        </w:rPr>
        <w:t>Промислова рекомендаційна підписка.</w:t>
      </w:r>
      <w:r>
        <w:rPr>
          <w:rFonts w:ascii="Calibri" w:hAnsi="Calibri"/>
          <w:i w:val="0"/>
          <w:color w:val="141B2E"/>
          <w:sz w:val="21"/>
        </w:rPr>
        <w:t xml:space="preserve"> Видимі оператору рекомендації з економічним базисом, коли досягнуто бюджетів хибних спрацювань і цілей затримки.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4.  </w:t>
      </w:r>
      <w:r>
        <w:rPr>
          <w:rFonts w:ascii="Calibri" w:hAnsi="Calibri"/>
          <w:b/>
          <w:i w:val="0"/>
          <w:color w:val="141B2E"/>
          <w:sz w:val="21"/>
        </w:rPr>
        <w:t>Обмежена автономна оптимізація.</w:t>
      </w:r>
      <w:r>
        <w:rPr>
          <w:rFonts w:ascii="Calibri" w:hAnsi="Calibri"/>
          <w:i w:val="0"/>
          <w:color w:val="141B2E"/>
          <w:sz w:val="21"/>
        </w:rPr>
        <w:t xml:space="preserve"> Лише після суттєвих тіньових доказів і обґрунтування безпеки майданчика — вузько обмежені рекомендації чи команди уставок, що ніколи не замінюють інтерлоки PLC чи сертифіковану SIS.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12  </w:t>
      </w:r>
      <w:r>
        <w:rPr>
          <w:rFonts w:ascii="Calibri" w:hAnsi="Calibri"/>
          <w:b/>
          <w:color w:val="102A54"/>
          <w:sz w:val="34"/>
        </w:rPr>
        <w:t>Моніторинг у промислі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Вимірювання, оброблені на джерело за хвилину; відкинуті, запізнілі, невпорядковані події.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Кількість рекомендацій на актив; рівень перегляду хибних; підтверджений рівень істинних позитивів.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Час випередження виявлення (наскільки раніше за можливу відмову чи тривогу).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Оцінки енергії та простою проти базової лінії простого алгоритму.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 xml:space="preserve">Версія моделі та </w:t>
      </w:r>
      <w:r>
        <w:rPr>
          <w:rFonts w:ascii="Consolas" w:hAnsi="Consolas"/>
          <w:color w:val="102A54"/>
          <w:sz w:val="20"/>
        </w:rPr>
        <w:t>trainingChecksum</w:t>
      </w:r>
      <w:r>
        <w:rPr>
          <w:rFonts w:ascii="Calibri" w:hAnsi="Calibri"/>
          <w:i w:val="0"/>
          <w:color w:val="141B2E"/>
          <w:sz w:val="21"/>
        </w:rPr>
        <w:t xml:space="preserve"> для кожної рекомендації; події інтерлоків і перевизначень.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Кожна рекомендація зберігає родовід: актив, сигнали, що долучилися, нейрон-власник, економічний базис, результат межі безпеки та твердження про межу керування.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13  </w:t>
      </w:r>
      <w:r>
        <w:rPr>
          <w:rFonts w:ascii="Calibri" w:hAnsi="Calibri"/>
          <w:b/>
          <w:color w:val="102A54"/>
          <w:sz w:val="34"/>
        </w:rPr>
        <w:t>Безпека, відкат і пакування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Пакування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 xml:space="preserve">Згенерована тека артефактів (файли рівнів, модель, опис,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>).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 xml:space="preserve">SHA коміту Git, команда навчання, </w:t>
      </w:r>
      <w:r>
        <w:rPr>
          <w:rFonts w:ascii="Consolas" w:hAnsi="Consolas"/>
          <w:color w:val="102A54"/>
          <w:sz w:val="20"/>
        </w:rPr>
        <w:t>trainingChecksum</w:t>
      </w:r>
      <w:r>
        <w:rPr>
          <w:rFonts w:ascii="Calibri" w:hAnsi="Calibri"/>
          <w:i w:val="0"/>
          <w:color w:val="141B2E"/>
          <w:sz w:val="21"/>
        </w:rPr>
        <w:t>, контрольні суми згенерованих артефактів, запис погодження рекомендаційного розгортання та ідентифікатор пакета відкату.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Правила безпеки та відкату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 xml:space="preserve">Жорсткі запобіжники — фіксована конфігурація в </w:t>
      </w:r>
      <w:r>
        <w:rPr>
          <w:rFonts w:ascii="Consolas" w:hAnsi="Consolas"/>
          <w:color w:val="102A54"/>
          <w:sz w:val="20"/>
        </w:rPr>
        <w:t>layer-3-advisory-planning.json</w:t>
      </w:r>
      <w:r>
        <w:rPr>
          <w:rFonts w:ascii="Calibri" w:hAnsi="Calibri"/>
          <w:i w:val="0"/>
          <w:color w:val="141B2E"/>
          <w:sz w:val="21"/>
        </w:rPr>
        <w:t>, ніколи не навчені ваги; інтерлоки й перевизначення оператора лишаються авторитетними.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Тримайте попередній пакет мережі доступним для негайного відкату.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Відкочуйте, якщо хибні спрацювання перевищують бюджет, покриття джерел падає або базову лінію простого алгоритму більше не перевершено.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BF1E0"/>
          <w:left w:val="single" w:sz="4" w:space="0" w:color="FBF1E0"/>
          <w:bottom w:val="single" w:sz="4" w:space="0" w:color="FBF1E0"/>
          <w:right w:val="single" w:sz="4" w:space="0" w:color="FBF1E0"/>
          <w:insideH w:val="single" w:sz="4" w:space="0" w:color="FBF1E0"/>
          <w:insideV w:val="single" w:sz="4" w:space="0" w:color="FBF1E0"/>
        </w:tblBorders>
      </w:tblPr>
      <w:tblGrid>
        <w:gridCol w:w="9173"/>
      </w:tblGrid>
      <w:tr>
        <w:tc>
          <w:tcPr>
            <w:tcW w:type="dxa" w:w="9173"/>
            <w:shd w:val="clear" w:color="auto" w:fill="FBF1E0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88A1A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C88A1A"/>
                <w:sz w:val="21"/>
              </w:rPr>
              <w:t>Чесне обмеження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Вбудована еталонна мережа навчена на синтетичному детермінованому корпусі скіда. Вона чудова для відтворюваних доказів конвеєра та регресії межі безпеки, але це доказ симуляції/HIL — не сертифікований контролер безпеки. Вона не замінює валідацію PLC/SIS, аналіз небезпек, керування змінами чи приймальні випробування на майданчику. Реальна точність потребує валідації на зовнішніх даних історіана, CMMS та лічильників енергії.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14  </w:t>
      </w:r>
      <w:r>
        <w:rPr>
          <w:rFonts w:ascii="Calibri" w:hAnsi="Calibri"/>
          <w:b/>
          <w:color w:val="102A54"/>
          <w:sz w:val="34"/>
        </w:rPr>
        <w:t>Усунення несправностей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32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Симптом</w:t>
            </w:r>
          </w:p>
        </w:tc>
        <w:tc>
          <w:tcPr>
            <w:tcW w:type="dxa" w:w="5472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Імовірна причина й виправлення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Cannot find class … in provided jar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Бракує класу з </w:t>
            </w:r>
            <w:r>
              <w:rPr>
                <w:rFonts w:ascii="Consolas" w:hAnsi="Consolas"/>
                <w:color w:val="102A54"/>
                <w:sz w:val="18"/>
              </w:rPr>
              <w:t>configuration.neuronnet.classes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— перезберіть JAR розгортання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Worker стартує, але нічого не видає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Перевірте </w:t>
            </w:r>
            <w:r>
              <w:rPr>
                <w:rFonts w:ascii="Consolas" w:hAnsi="Consolas"/>
                <w:color w:val="102A54"/>
                <w:sz w:val="18"/>
              </w:rPr>
              <w:t>clazz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джерела подій і що </w:t>
            </w:r>
            <w:r>
              <w:rPr>
                <w:rFonts w:ascii="Consolas" w:hAnsi="Consolas"/>
                <w:color w:val="102A54"/>
                <w:sz w:val="18"/>
              </w:rPr>
              <w:t>readSignals()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повертає типізовані сигнали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Структуру не завантажено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Переконайтеся, що </w:t>
            </w:r>
            <w:r>
              <w:rPr>
                <w:rFonts w:ascii="Consolas" w:hAnsi="Consolas"/>
                <w:color w:val="102A54"/>
                <w:sz w:val="18"/>
              </w:rPr>
              <w:t>configuration.input.layermeta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вказує на згенеровану теку рівнів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Worker одразу завершується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Для живого наглядача встановіть </w:t>
            </w:r>
            <w:r>
              <w:rPr>
                <w:rFonts w:ascii="Consolas" w:hAnsi="Consolas"/>
                <w:color w:val="102A54"/>
                <w:sz w:val="18"/>
              </w:rPr>
              <w:t>infiniteRun=true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; </w:t>
            </w:r>
            <w:r>
              <w:rPr>
                <w:rFonts w:ascii="Consolas" w:hAnsi="Consolas"/>
                <w:color w:val="102A54"/>
                <w:sz w:val="18"/>
              </w:rPr>
              <w:t>maxRun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— для обмеженого відтворення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Рекомендація намагається керувати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Перевірте </w:t>
            </w:r>
            <w:r>
              <w:rPr>
                <w:rFonts w:ascii="Consolas" w:hAnsi="Consolas"/>
                <w:color w:val="102A54"/>
                <w:sz w:val="18"/>
              </w:rPr>
              <w:t>industrial.autonomousAction=false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і що рівень відповіді ADVISORY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Застарілі ваги під час роботи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Ви розгорнули стару теку рівнів; розгорніть найновіший навчений пакет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15  </w:t>
      </w:r>
      <w:r>
        <w:rPr>
          <w:rFonts w:ascii="Calibri" w:hAnsi="Calibri"/>
          <w:b/>
          <w:color w:val="102A54"/>
          <w:sz w:val="34"/>
        </w:rPr>
        <w:t>Додаток — шпаргалка розгортання</w:t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Запуск промислового рекомендаційного worker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java -cp worker/target/worker-jar-with-dependencies.jar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com.rakovpublic.jneuropallium.worker.application.Entry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local file:///opt/jneopallium/industrial-loop-guardian.jar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com.rakovpublic.jneuropallium.worker.demo.fullrun.runtime.DemoJsonContext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/opt/jneopallium/model/industrial-loop-guardian/production-context.json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Основи контексту рекомендаційного worker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configuration.input.layermeta   = model/industrial-loop-guardian/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configuration.isteacherstudying = false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configuration.discriminatorsAmount = 0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configuration.infiniteRun       = true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configuration.runoncein         = 1000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industrial.autonomousAction     = false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0E7C86"/>
          <w:sz w:val="21"/>
        </w:rPr>
        <w:t>Jneopallium Industrial Loop Guardian · Посібник з розгортання. Споживає мережу, створену Посібником з навчання. Наглядовий над PLC/PID/SIS. Режим безпеки: ADVISORY. Записи OPC UA потребують окремого обґрунтування безпеки майданчика. Ліцензія: BSD 3-Clause.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8A93A6"/>
        <w:sz w:val="16"/>
      </w:rPr>
      <w:t>Jneopallium · Industrial Loop Guardian · Наглядовий шар над PLC/PID/SIS · ADVISORY</w:t>
    </w:r>
    <w:r>
      <w:rPr>
        <w:sz w:val="16"/>
      </w:rPr>
      <w:t xml:space="preserve">    </w:t>
    </w:r>
    <w:r>
      <w:rPr>
        <w:color w:val="8A93A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41B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