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"/>
      </w:pPr>
      <w:r>
        <w:rPr>
          <w:rFonts w:ascii="Consolas" w:cs="Consolas" w:eastAsia="Consolas" w:hAnsi="Consolas"/>
          <w:b/>
          <w:bCs/>
          <w:color w:val="B5562C"/>
          <w:spacing w:val="50"/>
          <w:sz w:val="18"/>
          <w:szCs w:val="18"/>
        </w:rPr>
        <w:t xml:space="preserve">DEMO 04 · CLINICAL DECISION SUPPORT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4181D"/>
          <w:sz w:val="56"/>
          <w:szCs w:val="56"/>
        </w:rPr>
        <w:t xml:space="preserve">Decision Support That Stays in Its Lane</w:t>
      </w: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spacing w:after="120" w:before="120"/>
      </w:pPr>
      <w:r>
        <w:rPr>
          <w:rFonts w:ascii="Georgia" w:cs="Georgia" w:eastAsia="Georgia" w:hAnsi="Georgia"/>
          <w:i/>
          <w:iCs/>
          <w:color w:val="39424B"/>
          <w:sz w:val="26"/>
          <w:szCs w:val="26"/>
        </w:rPr>
        <w:t xml:space="preserve">A clinical advisory that flags a high-risk patient for clinician review — and never, under any framing, writes a treatment order.</w:t>
      </w:r>
    </w:p>
    <w:p>
      <w:pPr>
        <w:spacing w:after="60" w:before="60"/>
      </w:pPr>
      <w:r>
        <w:rPr>
          <w:rFonts w:ascii="Arial" w:cs="Arial" w:eastAsia="Arial" w:hAnsi="Arial"/>
          <w:color w:val="B98724"/>
          <w:sz w:val="20"/>
          <w:szCs w:val="20"/>
        </w:rPr>
        <w:t xml:space="preserve">▌</w:t>
      </w:r>
      <w:r>
        <w:rPr>
          <w:rFonts w:ascii="Consolas" w:cs="Consolas" w:eastAsia="Consolas" w:hAnsi="Consolas"/>
          <w:b/>
          <w:bCs/>
          <w:color w:val="B98724"/>
          <w:sz w:val="17"/>
          <w:szCs w:val="17"/>
          <w:shd w:fill="EFEADF" w:val="clear"/>
        </w:rPr>
        <w:t xml:space="preserve"> ADVISORY </w:t>
      </w:r>
      <w:r>
        <w:rPr>
          <w:rFonts w:ascii="Georgia" w:cs="Georgia" w:eastAsia="Georgia" w:hAnsi="Georgia"/>
          <w:i/>
          <w:iCs/>
          <w:color w:val="6F665A"/>
          <w:sz w:val="17"/>
          <w:szCs w:val="17"/>
        </w:rPr>
        <w:t xml:space="preserve">  Recommends only — no autonomous writes</w:t>
      </w:r>
    </w:p>
    <w:p>
      <w:pPr>
        <w:pBdr>
          <w:top w:val="single" w:color="DAD3C4" w:sz="4" w:space="6"/>
        </w:pBdr>
        <w:spacing w:after="40" w:before="200"/>
      </w:pPr>
    </w:p>
    <w:p>
      <w:r>
        <w:rPr>
          <w:rFonts w:ascii="Consolas" w:cs="Consolas" w:eastAsia="Consolas" w:hAnsi="Consolas"/>
          <w:color w:val="6F665A"/>
          <w:spacing w:val="20"/>
          <w:sz w:val="14"/>
          <w:szCs w:val="14"/>
        </w:rPr>
        <w:t xml:space="preserve">AUTHOR  </w:t>
      </w:r>
      <w:r>
        <w:rPr>
          <w:rFonts w:ascii="Consolas" w:cs="Consolas" w:eastAsia="Consolas" w:hAnsi="Consolas"/>
          <w:color w:val="14181D"/>
          <w:sz w:val="16"/>
          <w:szCs w:val="16"/>
        </w:rPr>
        <w:t xml:space="preserve">Rakovskyi Dmytro</w:t>
      </w:r>
      <w:r>
        <w:rPr>
          <w:rFonts w:ascii="Consolas" w:cs="Consolas" w:eastAsia="Consolas" w:hAnsi="Consolas"/>
          <w:color w:val="DAD3C4"/>
          <w:sz w:val="16"/>
          <w:szCs w:val="16"/>
        </w:rPr>
        <w:t xml:space="preserve">    ·    </w:t>
      </w:r>
      <w:r>
        <w:rPr>
          <w:rFonts w:ascii="Consolas" w:cs="Consolas" w:eastAsia="Consolas" w:hAnsi="Consolas"/>
          <w:color w:val="6F665A"/>
          <w:spacing w:val="20"/>
          <w:sz w:val="14"/>
          <w:szCs w:val="14"/>
        </w:rPr>
        <w:t xml:space="preserve">VERSION  </w:t>
      </w:r>
      <w:r>
        <w:rPr>
          <w:rFonts w:ascii="Consolas" w:cs="Consolas" w:eastAsia="Consolas" w:hAnsi="Consolas"/>
          <w:color w:val="14181D"/>
          <w:sz w:val="16"/>
          <w:szCs w:val="16"/>
        </w:rPr>
        <w:t xml:space="preserve">Full-run demo 04</w:t>
      </w:r>
      <w:r>
        <w:rPr>
          <w:rFonts w:ascii="Consolas" w:cs="Consolas" w:eastAsia="Consolas" w:hAnsi="Consolas"/>
          <w:color w:val="DAD3C4"/>
          <w:sz w:val="16"/>
          <w:szCs w:val="16"/>
        </w:rPr>
        <w:t xml:space="preserve">    ·    </w:t>
      </w:r>
      <w:r>
        <w:rPr>
          <w:rFonts w:ascii="Consolas" w:cs="Consolas" w:eastAsia="Consolas" w:hAnsi="Consolas"/>
          <w:color w:val="6F665A"/>
          <w:spacing w:val="20"/>
          <w:sz w:val="14"/>
          <w:szCs w:val="14"/>
        </w:rPr>
        <w:t xml:space="preserve">DATE  </w:t>
      </w:r>
      <w:r>
        <w:rPr>
          <w:rFonts w:ascii="Consolas" w:cs="Consolas" w:eastAsia="Consolas" w:hAnsi="Consolas"/>
          <w:color w:val="14181D"/>
          <w:sz w:val="16"/>
          <w:szCs w:val="16"/>
        </w:rPr>
        <w:t xml:space="preserve">2026</w:t>
      </w:r>
      <w:r>
        <w:rPr>
          <w:rFonts w:ascii="Consolas" w:cs="Consolas" w:eastAsia="Consolas" w:hAnsi="Consolas"/>
          <w:color w:val="DAD3C4"/>
          <w:sz w:val="16"/>
          <w:szCs w:val="16"/>
        </w:rPr>
        <w:t xml:space="preserve">    ·    </w:t>
      </w:r>
      <w:r>
        <w:rPr>
          <w:rFonts w:ascii="Consolas" w:cs="Consolas" w:eastAsia="Consolas" w:hAnsi="Consolas"/>
          <w:color w:val="6F665A"/>
          <w:spacing w:val="20"/>
          <w:sz w:val="14"/>
          <w:szCs w:val="14"/>
        </w:rPr>
        <w:t xml:space="preserve">REPOSITORY  </w:t>
      </w:r>
      <w:r>
        <w:rPr>
          <w:rFonts w:ascii="Consolas" w:cs="Consolas" w:eastAsia="Consolas" w:hAnsi="Consolas"/>
          <w:color w:val="14181D"/>
          <w:sz w:val="16"/>
          <w:szCs w:val="16"/>
        </w:rPr>
        <w:t xml:space="preserve">github.com/rakovpublic/jneopallium</w:t>
      </w:r>
    </w:p>
    <w:p>
      <w:pPr>
        <w:spacing w:after="60" w:before="260"/>
      </w:pPr>
      <w:r>
        <w:rPr>
          <w:rFonts w:ascii="Georgia" w:cs="Georgia" w:eastAsia="Georgia" w:hAnsi="Georgia"/>
          <w:color w:val="14181D"/>
          <w:sz w:val="25"/>
          <w:szCs w:val="25"/>
        </w:rPr>
        <w:t xml:space="preserve">In medicine the dangerous failure isn't a missed flag — it's a system that quietly acts. A model that can place an order, adjust a dose, or change a record has crossed from decision support into autonomous medical action, and that line is regulatory, not stylistic. This demo reads vitals and medication context, raises an advisory when a patient looks high-risk, and stops there. The clinician decides; the system only points.</w:t>
      </w:r>
    </w:p>
    <w:p>
      <w:pPr>
        <w:pBdr>
          <w:bottom w:val="single" w:color="DAD3C4" w:sz="4" w:space="10"/>
        </w:pBdr>
        <w:spacing w:after="80"/>
      </w:pP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What it is</w:t>
      </w:r>
    </w:p>
    <w:p>
      <w:pPr>
        <w:spacing w:after="160" w:line="288"/>
        <w:jc w:val="left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Demo 04 models clinical decision support over a FHIR-style stream of patient observations. Its safety ceiling is </w:t>
      </w:r>
      <w:r>
        <w:rPr>
          <w:rFonts w:ascii="Georgia" w:cs="Georgia" w:eastAsia="Georgia" w:hAnsi="Georgia"/>
          <w:b/>
          <w:bCs/>
          <w:color w:val="14181D"/>
          <w:sz w:val="21"/>
          <w:szCs w:val="21"/>
        </w:rPr>
        <w:t xml:space="preserve">ADVISORY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, and that ceiling is the whole product: it emits advisories that require clinician review and it never writes treatment orders. The network is four layers (sized 4·3·2·2), enough to turn vitals into a triage priority and a review recommendation.</w:t>
      </w: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How it is wired</w:t>
      </w:r>
    </w:p>
    <w:p>
      <w:pPr>
        <w:spacing w:after="60" w:before="160"/>
        <w:jc w:val="center"/>
      </w:pPr>
      <w:r>
        <w:drawing>
          <wp:inline distT="0" distB="0" distL="0" distR="0">
            <wp:extent cx="4095750" cy="2628900"/>
            <wp:effectExtent t="0" r="0" b="0" l="0"/>
            <wp:docPr id="1" name="diagram" descr="Four layers. The output layer carries an advisory card and a safety disclaimer — never an order.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onsolas" w:cs="Consolas" w:eastAsia="Consolas" w:hAnsi="Consolas"/>
          <w:color w:val="B5562C"/>
          <w:sz w:val="15"/>
          <w:szCs w:val="15"/>
        </w:rPr>
        <w:t xml:space="preserve">Figure  </w:t>
      </w:r>
      <w:r>
        <w:rPr>
          <w:rFonts w:ascii="Georgia" w:cs="Georgia" w:eastAsia="Georgia" w:hAnsi="Georgia"/>
          <w:i/>
          <w:iCs/>
          <w:color w:val="6F665A"/>
          <w:sz w:val="18"/>
          <w:szCs w:val="18"/>
        </w:rPr>
        <w:t xml:space="preserve">Four layers. The output layer carries an advisory card and a safety disclaimer — never an order.</w:t>
      </w:r>
    </w:p>
    <w:p>
      <w:pPr>
        <w:spacing w:after="160" w:line="288"/>
        <w:jc w:val="left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Signals are typed: </w:t>
      </w:r>
      <w:r>
        <w:rPr>
          <w:rFonts w:ascii="Consolas" w:cs="Consolas" w:eastAsia="Consolas" w:hAnsi="Consolas"/>
          <w:color w:val="2A2018"/>
          <w:sz w:val="19"/>
          <w:szCs w:val="19"/>
          <w:shd w:fill="ECE6D9" w:val="clear"/>
        </w:rPr>
        <w:t xml:space="preserve">VitalSignal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 carries heart rate, oxygen saturation, and temperature, </w:t>
      </w:r>
      <w:r>
        <w:rPr>
          <w:rFonts w:ascii="Consolas" w:cs="Consolas" w:eastAsia="Consolas" w:hAnsi="Consolas"/>
          <w:color w:val="2A2018"/>
          <w:sz w:val="19"/>
          <w:szCs w:val="19"/>
          <w:shd w:fill="ECE6D9" w:val="clear"/>
        </w:rPr>
        <w:t xml:space="preserve">MedicationContextSignal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 carries the medication picture, </w:t>
      </w:r>
      <w:r>
        <w:rPr>
          <w:rFonts w:ascii="Consolas" w:cs="Consolas" w:eastAsia="Consolas" w:hAnsi="Consolas"/>
          <w:color w:val="2A2018"/>
          <w:sz w:val="19"/>
          <w:szCs w:val="19"/>
          <w:shd w:fill="ECE6D9" w:val="clear"/>
        </w:rPr>
        <w:t xml:space="preserve">ClinicalRiskSignal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 carries the computed risk, and </w:t>
      </w:r>
      <w:r>
        <w:rPr>
          <w:rFonts w:ascii="Consolas" w:cs="Consolas" w:eastAsia="Consolas" w:hAnsi="Consolas"/>
          <w:color w:val="2A2018"/>
          <w:sz w:val="19"/>
          <w:szCs w:val="19"/>
          <w:shd w:fill="ECE6D9" w:val="clear"/>
        </w:rPr>
        <w:t xml:space="preserve">ClinicalAdvisorySignal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 carries the recommendation — a recommendation, never an instruction.</w:t>
      </w: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What it does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color w:val="14181D"/>
          <w:sz w:val="21"/>
          <w:szCs w:val="21"/>
        </w:rPr>
        <w:t xml:space="preserve">A stable patient produces no escalation</w:t>
      </w:r>
      <w:r>
        <w:rPr>
          <w:sz w:val="21"/>
          <w:szCs w:val="21"/>
        </w:rPr>
        <w:t xml:space="preserve"> — 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the system does not manufacture alarms.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A high-risk synthetic patient produces a CLINICIAN_REVIEW_ADVISORY with an audit reason.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Every result is explicitly marked ADVISORY and carries a safety disclaimer; no result is ever an order or a writeback.</w:t>
      </w:r>
    </w:p>
    <w:p>
      <w:pPr>
        <w:spacing w:before="140"/>
      </w:pPr>
    </w:p>
    <w:tbl>
      <w:tblPr>
        <w:tblW w:type="dxa" w:w="9360"/>
        <w:tblBorders>
          <w:top w:val="single" w:color="2E8B66" w:sz="2"/>
          <w:left w:val="single" w:color="2E8B66" w:sz="28"/>
          <w:bottom w:val="single" w:color="2E8B66" w:sz="2"/>
          <w:right w:val="single" w:color="2E8B66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8F2EC" w:val="clear"/>
            <w:tcMar>
              <w:top w:type="dxa" w:w="120"/>
              <w:left w:type="dxa" w:w="200"/>
              <w:bottom w:type="dxa" w:w="130"/>
              <w:right w:type="dxa" w:w="18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2E8B66"/>
                <w:spacing w:val="30"/>
                <w:sz w:val="16"/>
                <w:szCs w:val="16"/>
              </w:rPr>
              <w:t xml:space="preserve">SAFETY</w:t>
            </w:r>
          </w:p>
          <w:p>
            <w:r>
              <w:rPr>
                <w:rFonts w:ascii="Georgia" w:cs="Georgia" w:eastAsia="Georgia" w:hAnsi="Georgia"/>
                <w:color w:val="14181D"/>
                <w:sz w:val="20"/>
                <w:szCs w:val="20"/>
              </w:rPr>
              <w:t xml:space="preserve">The test is adversarial about this: it fails if any result type even looks like an autonomous order or write. “Advisory” is enforced as a property of the output, not a label in the docs.</w:t>
            </w:r>
          </w:p>
        </w:tc>
      </w:tr>
    </w:tbl>
    <w:p>
      <w:pPr>
        <w:spacing w:after="140"/>
      </w:pP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The evidence</w:t>
      </w:r>
    </w:p>
    <w:p>
      <w:pPr>
        <w:spacing w:before="14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3A434C" w:sz="2"/>
          <w:insideV w:val="none"/>
        </w:tblBorders>
      </w:tblPr>
      <w:tblGrid>
        <w:gridCol w:w="5429"/>
        <w:gridCol w:w="3931"/>
      </w:tblGrid>
      <w:tr>
        <w:tc>
          <w:tcPr>
            <w:tcW w:type="dxa" w:w="9360"/>
            <w:gridSpan w:val="2"/>
            <w:shd w:fill="14181D" w:val="clear"/>
            <w:tcMar>
              <w:top w:type="dxa" w:w="110"/>
              <w:left w:type="dxa" w:w="200"/>
              <w:bottom w:type="dxa" w:w="90"/>
              <w:right w:type="dxa" w:w="1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0A23A"/>
                <w:spacing w:val="30"/>
                <w:sz w:val="16"/>
                <w:szCs w:val="16"/>
              </w:rPr>
              <w:t xml:space="preserve">VERIFICATION EVIDENCE</w:t>
            </w:r>
          </w:p>
        </w:tc>
      </w:tr>
      <w:tr>
        <w:tc>
          <w:tcPr>
            <w:tcW w:type="dxa" w:w="5429"/>
            <w:shd w:fill="14181D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D8D1C4"/>
                <w:sz w:val="20"/>
                <w:szCs w:val="20"/>
              </w:rPr>
              <w:t xml:space="preserve">Ticks</w:t>
            </w:r>
          </w:p>
        </w:tc>
        <w:tc>
          <w:tcPr>
            <w:tcW w:type="dxa" w:w="3931"/>
            <w:shd w:fill="14181D" w:val="clear"/>
            <w:tcMar>
              <w:top w:type="dxa" w:w="80"/>
              <w:left w:type="dxa" w:w="120"/>
              <w:bottom w:type="dxa" w:w="80"/>
              <w:right w:type="dxa" w:w="18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color w:val="FFFFFF"/>
                <w:sz w:val="19"/>
                <w:szCs w:val="19"/>
              </w:rPr>
              <w:t xml:space="preserve">80 / 80</w:t>
            </w:r>
          </w:p>
        </w:tc>
      </w:tr>
      <w:tr>
        <w:tc>
          <w:tcPr>
            <w:tcW w:type="dxa" w:w="5429"/>
            <w:shd w:fill="14181D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D8D1C4"/>
                <w:sz w:val="20"/>
                <w:szCs w:val="20"/>
              </w:rPr>
              <w:t xml:space="preserve">High-risk patient</w:t>
            </w:r>
          </w:p>
        </w:tc>
        <w:tc>
          <w:tcPr>
            <w:tcW w:type="dxa" w:w="3931"/>
            <w:shd w:fill="14181D" w:val="clear"/>
            <w:tcMar>
              <w:top w:type="dxa" w:w="80"/>
              <w:left w:type="dxa" w:w="120"/>
              <w:bottom w:type="dxa" w:w="80"/>
              <w:right w:type="dxa" w:w="18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color w:val="FFFFFF"/>
                <w:sz w:val="19"/>
                <w:szCs w:val="19"/>
              </w:rPr>
              <w:t xml:space="preserve">CLINICIAN_REVIEW_ADVISORY raised</w:t>
            </w:r>
          </w:p>
        </w:tc>
      </w:tr>
      <w:tr>
        <w:tc>
          <w:tcPr>
            <w:tcW w:type="dxa" w:w="5429"/>
            <w:shd w:fill="14181D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D8D1C4"/>
                <w:sz w:val="20"/>
                <w:szCs w:val="20"/>
              </w:rPr>
              <w:t xml:space="preserve">Treatment orders written</w:t>
            </w:r>
          </w:p>
        </w:tc>
        <w:tc>
          <w:tcPr>
            <w:tcW w:type="dxa" w:w="3931"/>
            <w:shd w:fill="14181D" w:val="clear"/>
            <w:tcMar>
              <w:top w:type="dxa" w:w="80"/>
              <w:left w:type="dxa" w:w="120"/>
              <w:bottom w:type="dxa" w:w="80"/>
              <w:right w:type="dxa" w:w="18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zero</w:t>
            </w:r>
            <w:r>
              <w:rPr>
                <w:rFonts w:ascii="Georgia" w:cs="Georgia" w:eastAsia="Georgia" w:hAnsi="Georgia"/>
                <w:color w:val="FFFFFF"/>
                <w:sz w:val="19"/>
                <w:szCs w:val="19"/>
              </w:rPr>
              <w:t xml:space="preserve"> — enforced</w:t>
            </w:r>
          </w:p>
        </w:tc>
      </w:tr>
      <w:tr>
        <w:tc>
          <w:tcPr>
            <w:tcW w:type="dxa" w:w="5429"/>
            <w:shd w:fill="14181D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D8D1C4"/>
                <w:sz w:val="20"/>
                <w:szCs w:val="20"/>
              </w:rPr>
              <w:t xml:space="preserve">Output mode</w:t>
            </w:r>
          </w:p>
        </w:tc>
        <w:tc>
          <w:tcPr>
            <w:tcW w:type="dxa" w:w="3931"/>
            <w:shd w:fill="14181D" w:val="clear"/>
            <w:tcMar>
              <w:top w:type="dxa" w:w="80"/>
              <w:left w:type="dxa" w:w="120"/>
              <w:bottom w:type="dxa" w:w="80"/>
              <w:right w:type="dxa" w:w="18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ADVISORY</w:t>
            </w:r>
          </w:p>
        </w:tc>
      </w:tr>
      <w:tr>
        <w:tc>
          <w:tcPr>
            <w:tcW w:type="dxa" w:w="5429"/>
            <w:shd w:fill="14181D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D8D1C4"/>
                <w:sz w:val="20"/>
                <w:szCs w:val="20"/>
              </w:rPr>
              <w:t xml:space="preserve">Verdict</w:t>
            </w:r>
          </w:p>
        </w:tc>
        <w:tc>
          <w:tcPr>
            <w:tcW w:type="dxa" w:w="3931"/>
            <w:shd w:fill="14181D" w:val="clear"/>
            <w:tcMar>
              <w:top w:type="dxa" w:w="80"/>
              <w:left w:type="dxa" w:w="120"/>
              <w:bottom w:type="dxa" w:w="80"/>
              <w:right w:type="dxa" w:w="18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140"/>
      </w:pP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How to run it</w:t>
      </w:r>
    </w:p>
    <w:p>
      <w:pPr>
        <w:spacing w:after="40" w:before="14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  <w:shd w:fill="B5562C" w:val="clear"/>
        </w:rPr>
        <w:t xml:space="preserve"> 1 </w:t>
      </w:r>
      <w:r>
        <w:rPr>
          <w:sz w:val="18"/>
          <w:szCs w:val="18"/>
        </w:rPr>
        <w:t xml:space="preserve">  </w:t>
      </w:r>
      <w:r>
        <w:rPr>
          <w:rFonts w:ascii="Arial" w:cs="Arial" w:eastAsia="Arial" w:hAnsi="Arial"/>
          <w:b/>
          <w:bCs/>
          <w:color w:val="14181D"/>
          <w:sz w:val="22"/>
          <w:szCs w:val="22"/>
        </w:rPr>
        <w:t xml:space="preserve">Build</w:t>
      </w:r>
    </w:p>
    <w:p>
      <w:pPr>
        <w:spacing w:after="60" w:line="276"/>
        <w:ind w:left="360"/>
      </w:pPr>
      <w:r>
        <w:rPr>
          <w:rFonts w:ascii="Georgia" w:cs="Georgia" w:eastAsia="Georgia" w:hAnsi="Georgia"/>
          <w:color w:val="14181D"/>
          <w:sz w:val="20"/>
          <w:szCs w:val="20"/>
        </w:rPr>
        <w:t xml:space="preserve">Build the worker and the demo model JAR.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14181D" w:val="clear"/>
            <w:tcMar>
              <w:top w:type="dxa" w:w="130"/>
              <w:left w:type="dxa" w:w="170"/>
              <w:bottom w:type="dxa" w:w="14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mvn -q -pl worker -am package</w:t>
            </w:r>
          </w:p>
        </w:tc>
      </w:tr>
    </w:tbl>
    <w:p>
      <w:pPr>
        <w:spacing w:after="40" w:before="12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  <w:shd w:fill="B5562C" w:val="clear"/>
        </w:rPr>
        <w:t xml:space="preserve"> 2 </w:t>
      </w:r>
      <w:r>
        <w:rPr>
          <w:sz w:val="18"/>
          <w:szCs w:val="18"/>
        </w:rPr>
        <w:t xml:space="preserve">  </w:t>
      </w:r>
      <w:r>
        <w:rPr>
          <w:rFonts w:ascii="Arial" w:cs="Arial" w:eastAsia="Arial" w:hAnsi="Arial"/>
          <w:b/>
          <w:bCs/>
          <w:color w:val="14181D"/>
          <w:sz w:val="22"/>
          <w:szCs w:val="22"/>
        </w:rPr>
        <w:t xml:space="preserve">Run via the framework entry point</w:t>
      </w:r>
    </w:p>
    <w:p>
      <w:pPr>
        <w:spacing w:after="60" w:line="276"/>
        <w:ind w:left="360"/>
      </w:pPr>
      <w:r>
        <w:rPr>
          <w:rFonts w:ascii="Georgia" w:cs="Georgia" w:eastAsia="Georgia" w:hAnsi="Georgia"/>
          <w:color w:val="14181D"/>
          <w:sz w:val="20"/>
          <w:szCs w:val="20"/>
        </w:rPr>
        <w:t xml:space="preserve">Entry loads the model JAR and the demo context through the real local path.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14181D" w:val="clear"/>
            <w:tcMar>
              <w:top w:type="dxa" w:w="130"/>
              <w:left w:type="dxa" w:w="170"/>
              <w:bottom w:type="dxa" w:w="14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java -cp demo-model.jar \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  com.rakovpublic.jneuropallium.worker.application.Entry \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  local file:///path/to/demo-model.jar \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  com.rakovpublic.jneuropallium.worker.demo.fullrun.runtime.DemoJsonContext \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  context.json</w:t>
            </w:r>
          </w:p>
        </w:tc>
      </w:tr>
    </w:tbl>
    <w:p>
      <w:pPr>
        <w:spacing w:after="40" w:before="12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  <w:shd w:fill="B5562C" w:val="clear"/>
        </w:rPr>
        <w:t xml:space="preserve"> 3 </w:t>
      </w:r>
      <w:r>
        <w:rPr>
          <w:sz w:val="18"/>
          <w:szCs w:val="18"/>
        </w:rPr>
        <w:t xml:space="preserve">  </w:t>
      </w:r>
      <w:r>
        <w:rPr>
          <w:rFonts w:ascii="Arial" w:cs="Arial" w:eastAsia="Arial" w:hAnsi="Arial"/>
          <w:b/>
          <w:bCs/>
          <w:color w:val="14181D"/>
          <w:sz w:val="22"/>
          <w:szCs w:val="22"/>
        </w:rPr>
        <w:t xml:space="preserve">Inspect</w:t>
      </w:r>
    </w:p>
    <w:p>
      <w:pPr>
        <w:spacing w:after="60" w:line="276"/>
        <w:ind w:left="360"/>
      </w:pPr>
      <w:r>
        <w:rPr>
          <w:rFonts w:ascii="Georgia" w:cs="Georgia" w:eastAsia="Georgia" w:hAnsi="Georgia"/>
          <w:color w:val="14181D"/>
          <w:sz w:val="20"/>
          <w:szCs w:val="20"/>
        </w:rPr>
        <w:t xml:space="preserve">Read the advisory cards and disclaimers.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14181D" w:val="clear"/>
            <w:tcMar>
              <w:top w:type="dxa" w:w="130"/>
              <w:left w:type="dxa" w:w="170"/>
              <w:bottom w:type="dxa" w:w="14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ls target/jneopallium-fullrun-demos/demo-04-clinical-advisory/</w:t>
            </w:r>
          </w:p>
        </w:tc>
      </w:tr>
    </w:tbl>
    <w:p>
      <w:pPr>
        <w:spacing w:after="120"/>
      </w:pP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Why ADVISORY</w:t>
      </w:r>
    </w:p>
    <w:p>
      <w:pPr>
        <w:spacing w:after="160" w:line="288"/>
        <w:jc w:val="left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Clinical action is a clinician's responsibility and, in most jurisdictions, a regulated act; a software system that performs it inherits an entirely different risk and approval burden. The advisory ceiling keeps this demo firmly in decision support. To connect it to a real record system you replace the mock observation edge with a FHIR client while preserving the typed signal contract and the advisory ceiling — and the guarantee that it never writes an order travels with it.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Consolas" w:cs="Consolas" w:eastAsia="Consolas" w:hAnsi="Consolas"/>
        <w:color w:val="6F665A"/>
        <w:sz w:val="14"/>
        <w:szCs w:val="14"/>
      </w:rPr>
      <w:t xml:space="preserve">github.com/rakovpublic/jneopallium</w:t>
    </w:r>
    <w:r>
      <w:rPr>
        <w:rFonts w:ascii="Consolas" w:cs="Consolas" w:eastAsia="Consolas" w:hAnsi="Consolas"/>
        <w:color w:val="6F665A"/>
        <w:sz w:val="14"/>
        <w:szCs w:val="14"/>
      </w:rPr>
      <w:t xml:space="preserve">	Page </w:t>
    </w:r>
    <w:r>
      <w:rPr>
        <w:rFonts w:ascii="Consolas" w:cs="Consolas" w:eastAsia="Consolas" w:hAnsi="Consolas"/>
        <w:color w:val="14181D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AD3C4" w:sz="4" w:space="6"/>
      </w:pBdr>
      <w:tabs>
        <w:tab w:val="right" w:pos="9360"/>
      </w:tabs>
    </w:pPr>
    <w:r>
      <w:rPr>
        <w:rFonts w:ascii="Consolas" w:cs="Consolas" w:eastAsia="Consolas" w:hAnsi="Consolas"/>
        <w:color w:val="6F665A"/>
        <w:spacing w:val="20"/>
        <w:sz w:val="14"/>
        <w:szCs w:val="14"/>
      </w:rPr>
      <w:t xml:space="preserve">Demo 04 · Clinical Decision Support</w:t>
    </w:r>
    <w:r>
      <w:rPr>
        <w:rFonts w:ascii="Consolas" w:cs="Consolas" w:eastAsia="Consolas" w:hAnsi="Consolas"/>
        <w:color w:val="9A9183"/>
        <w:sz w:val="14"/>
        <w:szCs w:val="14"/>
      </w:rPr>
      <w:t xml:space="preserve">	Decision Support That Stays in Its Lane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60" w:hanging="280"/>
      </w:pPr>
      <w:rPr>
        <w:color w:val="B5562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  <w:rPr>
        <w:rFonts w:ascii="Consolas" w:cs="Consolas" w:eastAsia="Consolas" w:hAnsi="Consolas"/>
        <w:b/>
        <w:bCs/>
        <w:color w:val="B5562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4181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4181D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70" w:before="200"/>
      <w:outlineLvl w:val="1"/>
    </w:pPr>
    <w:rPr>
      <w:rFonts w:ascii="Arial" w:cs="Arial" w:eastAsia="Arial" w:hAnsi="Arial"/>
      <w:b/>
      <w:bCs/>
      <w:color w:val="232A3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39a168e974638ae5b0d585f2291ff5cbffa416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2026-06-07T15:44:43.799Z</dcterms:created>
  <dcterms:modified xsi:type="dcterms:W3CDTF">2026-06-07T15:44:43.799Z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