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"/>
      </w:pPr>
      <w:r>
        <w:rPr>
          <w:rFonts w:ascii="Consolas" w:cs="Consolas" w:eastAsia="Consolas" w:hAnsi="Consolas"/>
          <w:b/>
          <w:bCs/>
          <w:color w:val="B5562C"/>
          <w:spacing w:val="50"/>
          <w:sz w:val="18"/>
          <w:szCs w:val="18"/>
        </w:rPr>
        <w:t xml:space="preserve">ДЕМО 04 · КЛІНІЧНА ПІДТРИМКА РІШЕНЬ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14181D"/>
          <w:sz w:val="56"/>
          <w:szCs w:val="56"/>
        </w:rPr>
        <w:t xml:space="preserve">Підтримка рішень, що тримається своєї смуги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spacing w:after="120" w:before="120"/>
      </w:pPr>
      <w:r>
        <w:rPr>
          <w:rFonts w:ascii="Georgia" w:cs="Georgia" w:eastAsia="Georgia" w:hAnsi="Georgia"/>
          <w:i/>
          <w:iCs/>
          <w:color w:val="39424B"/>
          <w:sz w:val="26"/>
          <w:szCs w:val="26"/>
        </w:rPr>
        <w:t xml:space="preserve">Клінічна порада, що позначає пацієнта високого ризику для перегляду лікарем — і ніколи, за жодного формулювання, не виписує призначення.</w:t>
      </w:r>
    </w:p>
    <w:p>
      <w:pPr>
        <w:spacing w:after="60" w:before="60"/>
      </w:pPr>
      <w:r>
        <w:rPr>
          <w:rFonts w:ascii="Arial" w:cs="Arial" w:eastAsia="Arial" w:hAnsi="Arial"/>
          <w:color w:val="B98724"/>
          <w:sz w:val="20"/>
          <w:szCs w:val="20"/>
        </w:rPr>
        <w:t xml:space="preserve">▌</w:t>
      </w:r>
      <w:r>
        <w:rPr>
          <w:rFonts w:ascii="Consolas" w:cs="Consolas" w:eastAsia="Consolas" w:hAnsi="Consolas"/>
          <w:b/>
          <w:bCs/>
          <w:color w:val="B98724"/>
          <w:sz w:val="17"/>
          <w:szCs w:val="17"/>
          <w:shd w:fill="EFEADF" w:val="clear"/>
        </w:rPr>
        <w:t xml:space="preserve"> ADVISORY </w:t>
      </w:r>
      <w:r>
        <w:rPr>
          <w:rFonts w:ascii="Georgia" w:cs="Georgia" w:eastAsia="Georgia" w:hAnsi="Georgia"/>
          <w:i/>
          <w:iCs/>
          <w:color w:val="6F665A"/>
          <w:sz w:val="17"/>
          <w:szCs w:val="17"/>
        </w:rPr>
        <w:t xml:space="preserve">  Лише рекомендації — без автономного запису</w:t>
      </w:r>
    </w:p>
    <w:p>
      <w:pPr>
        <w:pBdr>
          <w:top w:val="single" w:color="DAD3C4" w:sz="4" w:space="6"/>
        </w:pBdr>
        <w:spacing w:after="40" w:before="200"/>
      </w:pPr>
    </w:p>
    <w:p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АВТОР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Раковський Дмитро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ВЕРСІЯ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Демо повного прогону 04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ДАТА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2026</w:t>
      </w:r>
      <w:r>
        <w:rPr>
          <w:rFonts w:ascii="Consolas" w:cs="Consolas" w:eastAsia="Consolas" w:hAnsi="Consolas"/>
          <w:color w:val="DAD3C4"/>
          <w:sz w:val="16"/>
          <w:szCs w:val="16"/>
        </w:rPr>
        <w:t xml:space="preserve">    ·    </w:t>
      </w:r>
      <w:r>
        <w:rPr>
          <w:rFonts w:ascii="Consolas" w:cs="Consolas" w:eastAsia="Consolas" w:hAnsi="Consolas"/>
          <w:color w:val="6F665A"/>
          <w:spacing w:val="20"/>
          <w:sz w:val="14"/>
          <w:szCs w:val="14"/>
        </w:rPr>
        <w:t xml:space="preserve">РЕПОЗИТОРІЙ  </w:t>
      </w:r>
      <w:r>
        <w:rPr>
          <w:rFonts w:ascii="Consolas" w:cs="Consolas" w:eastAsia="Consolas" w:hAnsi="Consolas"/>
          <w:color w:val="14181D"/>
          <w:sz w:val="16"/>
          <w:szCs w:val="16"/>
        </w:rPr>
        <w:t xml:space="preserve">github.com/rakovpublic/jneopallium</w:t>
      </w:r>
    </w:p>
    <w:p>
      <w:pPr>
        <w:spacing w:after="60" w:before="260"/>
      </w:pPr>
      <w:r>
        <w:rPr>
          <w:rFonts w:ascii="Georgia" w:cs="Georgia" w:eastAsia="Georgia" w:hAnsi="Georgia"/>
          <w:color w:val="14181D"/>
          <w:sz w:val="25"/>
          <w:szCs w:val="25"/>
        </w:rPr>
        <w:t xml:space="preserve">У медицині небезпечний збій — не пропущений прапорець, а система, що тихо діє. Модель, здатна виписати призначення, змінити дозу чи запис, перейшла від підтримки рішень до автономної медичної дії, і ця межа — регуляторна, а не стилістична. Ця демонстрація читає показники життєдіяльності й контекст ліків, видає пораду, коли пацієнт виглядає високоризиковим, і на цьому спиняється. Лікар вирішує; система лише вказує.</w:t>
      </w:r>
    </w:p>
    <w:p>
      <w:pPr>
        <w:pBdr>
          <w:bottom w:val="single" w:color="DAD3C4" w:sz="4" w:space="10"/>
        </w:pBdr>
        <w:spacing w:after="8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Що це таке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Демо 04 моделює клінічну підтримку рішень за потоком спостережень пацієнта у стилі FHIR. Його межа безпеки — </w:t>
      </w:r>
      <w:r>
        <w:rPr>
          <w:rFonts w:ascii="Georgia" w:cs="Georgia" w:eastAsia="Georgia" w:hAnsi="Georgia"/>
          <w:b/>
          <w:bCs/>
          <w:color w:val="14181D"/>
          <w:sz w:val="21"/>
          <w:szCs w:val="21"/>
        </w:rPr>
        <w:t xml:space="preserve">ADVISORY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, і ця межа і є вся суть: воно видає поради, що вимагають перегляду лікарем, і ніколи не виписує призначень. Мережа має чотири шари (розмір 4·3·2·2) — достатньо, щоб перетворити показники на пріоритет тріажу й рекомендацію перегляду.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Як це влаштовано</w:t>
      </w:r>
    </w:p>
    <w:p>
      <w:pPr>
        <w:spacing w:after="60" w:before="160"/>
        <w:jc w:val="center"/>
      </w:pPr>
      <w:r>
        <w:drawing>
          <wp:inline distT="0" distB="0" distL="0" distR="0">
            <wp:extent cx="4095750" cy="2628900"/>
            <wp:effectExtent t="0" r="0" b="0" l="0"/>
            <wp:docPr id="1" name="diagram" descr="Чотири шари. Шар результату несе картку-пораду й застереження безпеки — ніколи призначення.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onsolas" w:cs="Consolas" w:eastAsia="Consolas" w:hAnsi="Consolas"/>
          <w:color w:val="B5562C"/>
          <w:sz w:val="15"/>
          <w:szCs w:val="15"/>
        </w:rPr>
        <w:t xml:space="preserve">Рис.  </w:t>
      </w:r>
      <w:r>
        <w:rPr>
          <w:rFonts w:ascii="Georgia" w:cs="Georgia" w:eastAsia="Georgia" w:hAnsi="Georgia"/>
          <w:i/>
          <w:iCs/>
          <w:color w:val="6F665A"/>
          <w:sz w:val="18"/>
          <w:szCs w:val="18"/>
        </w:rPr>
        <w:t xml:space="preserve">Чотири шари. Шар результату несе картку-пораду й застереження безпеки — ніколи призначення.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Сигнали типізовані: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VitalSignal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несе пульс, насичення киснем і температуру,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MedicationContextSignal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несе картину ліків,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ClinicalRiskSignal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несе обчислений ризик, а </w:t>
      </w:r>
      <w:r>
        <w:rPr>
          <w:rFonts w:ascii="Consolas" w:cs="Consolas" w:eastAsia="Consolas" w:hAnsi="Consolas"/>
          <w:color w:val="2A2018"/>
          <w:sz w:val="19"/>
          <w:szCs w:val="19"/>
          <w:shd w:fill="ECE6D9" w:val="clear"/>
        </w:rPr>
        <w:t xml:space="preserve">ClinicalAdvisorySignal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 несе рекомендацію — рекомендацію, ніколи інструкцію.</w:t>
      </w: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Що воно робить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Arial" w:cs="Arial" w:eastAsia="Arial" w:hAnsi="Arial"/>
          <w:b/>
          <w:bCs/>
          <w:color w:val="14181D"/>
          <w:sz w:val="21"/>
          <w:szCs w:val="21"/>
        </w:rPr>
        <w:t xml:space="preserve">Стабільний пацієнт не дає ескалації</w:t>
      </w:r>
      <w:r>
        <w:rPr>
          <w:sz w:val="21"/>
          <w:szCs w:val="21"/>
        </w:rPr>
        <w:t xml:space="preserve"> — </w:t>
      </w:r>
      <w:r>
        <w:rPr>
          <w:rFonts w:ascii="Georgia" w:cs="Georgia" w:eastAsia="Georgia" w:hAnsi="Georgia"/>
          <w:color w:val="14181D"/>
          <w:sz w:val="21"/>
          <w:szCs w:val="21"/>
        </w:rPr>
        <w:t xml:space="preserve">система не вигадує тривог.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Синтетичний пацієнт високого ризику дає CLINICIAN_REVIEW_ADVISORY з причиною аудиту.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Кожен результат явно позначено ADVISORY і несе застереження безпеки; жоден результат ніколи не є призначенням чи записом.</w:t>
      </w:r>
    </w:p>
    <w:p>
      <w:pPr>
        <w:spacing w:before="140"/>
      </w:pPr>
    </w:p>
    <w:tbl>
      <w:tblPr>
        <w:tblW w:type="dxa" w:w="9360"/>
        <w:tblBorders>
          <w:top w:val="single" w:color="2E8B66" w:sz="2"/>
          <w:left w:val="single" w:color="2E8B66" w:sz="28"/>
          <w:bottom w:val="single" w:color="2E8B66" w:sz="2"/>
          <w:right w:val="single" w:color="2E8B66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8F2EC" w:val="clear"/>
            <w:tcMar>
              <w:top w:type="dxa" w:w="120"/>
              <w:left w:type="dxa" w:w="200"/>
              <w:bottom w:type="dxa" w:w="130"/>
              <w:right w:type="dxa" w:w="180"/>
            </w:tcMar>
          </w:tcPr>
          <w:p>
            <w:pPr>
              <w:spacing w:after="50"/>
            </w:pPr>
            <w:r>
              <w:rPr>
                <w:rFonts w:ascii="Arial" w:cs="Arial" w:eastAsia="Arial" w:hAnsi="Arial"/>
                <w:b/>
                <w:bCs/>
                <w:color w:val="2E8B66"/>
                <w:spacing w:val="30"/>
                <w:sz w:val="16"/>
                <w:szCs w:val="16"/>
              </w:rPr>
              <w:t xml:space="preserve">БЕЗПЕКА</w:t>
            </w:r>
          </w:p>
          <w:p>
            <w:r>
              <w:rPr>
                <w:rFonts w:ascii="Georgia" w:cs="Georgia" w:eastAsia="Georgia" w:hAnsi="Georgia"/>
                <w:color w:val="14181D"/>
                <w:sz w:val="20"/>
                <w:szCs w:val="20"/>
              </w:rPr>
              <w:t xml:space="preserve">Тест ставиться до цього вороже: він провалюється, якщо будь-який тип результату хоча б виглядає як автономне призначення чи запис. «Рекомендаційність» забезпечується як властивість виходу, а не як ярлик у документах.</w:t>
            </w:r>
          </w:p>
        </w:tc>
      </w:tr>
    </w:tbl>
    <w:p>
      <w:pPr>
        <w:spacing w:after="14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Докази</w:t>
      </w:r>
    </w:p>
    <w:p>
      <w:pPr>
        <w:spacing w:before="140"/>
      </w:pP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3A434C" w:sz="2"/>
          <w:insideV w:val="none"/>
        </w:tblBorders>
      </w:tblPr>
      <w:tblGrid>
        <w:gridCol w:w="5429"/>
        <w:gridCol w:w="3931"/>
      </w:tblGrid>
      <w:tr>
        <w:tc>
          <w:tcPr>
            <w:tcW w:type="dxa" w:w="9360"/>
            <w:gridSpan w:val="2"/>
            <w:shd w:fill="14181D" w:val="clear"/>
            <w:tcMar>
              <w:top w:type="dxa" w:w="110"/>
              <w:left w:type="dxa" w:w="200"/>
              <w:bottom w:type="dxa" w:w="90"/>
              <w:right w:type="dxa" w:w="18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E0A23A"/>
                <w:spacing w:val="30"/>
                <w:sz w:val="16"/>
                <w:szCs w:val="16"/>
              </w:rPr>
              <w:t xml:space="preserve">ДОКАЗИ ВЕРИФІКАЦІЇ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Тіки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80 / 80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Пацієнт високого ризику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CLINICIAN_REVIEW_ADVISORY видано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Виписано призначень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нуль</w:t>
            </w:r>
            <w:r>
              <w:rPr>
                <w:rFonts w:ascii="Georgia" w:cs="Georgia" w:eastAsia="Georgia" w:hAnsi="Georgia"/>
                <w:color w:val="FFFFFF"/>
                <w:sz w:val="19"/>
                <w:szCs w:val="19"/>
              </w:rPr>
              <w:t xml:space="preserve"> — забезпечено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Режим виходу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ADVISORY</w:t>
            </w:r>
          </w:p>
        </w:tc>
      </w:tr>
      <w:tr>
        <w:tc>
          <w:tcPr>
            <w:tcW w:type="dxa" w:w="5429"/>
            <w:shd w:fill="14181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D8D1C4"/>
                <w:sz w:val="20"/>
                <w:szCs w:val="20"/>
              </w:rPr>
              <w:t xml:space="preserve">Вердикт</w:t>
            </w:r>
          </w:p>
        </w:tc>
        <w:tc>
          <w:tcPr>
            <w:tcW w:type="dxa" w:w="3931"/>
            <w:shd w:fill="14181D" w:val="clear"/>
            <w:tcMar>
              <w:top w:type="dxa" w:w="80"/>
              <w:left w:type="dxa" w:w="120"/>
              <w:bottom w:type="dxa" w:w="80"/>
              <w:right w:type="dxa" w:w="180"/>
            </w:tcMar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</w:tr>
    </w:tbl>
    <w:p>
      <w:pPr>
        <w:spacing w:after="14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Як це запустити</w:t>
      </w:r>
    </w:p>
    <w:p>
      <w:pPr>
        <w:spacing w:after="40" w:before="14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1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Зберіть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Зберіть воркер і JAR моделі демонстрації.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mvn -q -pl worker -am package</w:t>
            </w:r>
          </w:p>
        </w:tc>
      </w:tr>
    </w:tbl>
    <w:p>
      <w:pPr>
        <w:spacing w:after="4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2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Запустіть через точку входу фреймворку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Entry завантажує JAR моделі й контекст через реальний локальний шлях.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java -cp demo-model.jar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com.rakovpublic.jneuropallium.worker.application.Entry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local file:///path/to/demo-model.jar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com.rakovpublic.jneuropallium.worker.demo.fullrun.runtime.DemoJsonContext \</w:t>
            </w:r>
          </w:p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  context.json</w:t>
            </w:r>
          </w:p>
        </w:tc>
      </w:tr>
    </w:tbl>
    <w:p>
      <w:pPr>
        <w:spacing w:after="40" w:before="120"/>
      </w:pPr>
      <w:r>
        <w:rPr>
          <w:rFonts w:ascii="Consolas" w:cs="Consolas" w:eastAsia="Consolas" w:hAnsi="Consolas"/>
          <w:b/>
          <w:bCs/>
          <w:color w:val="FFFFFF"/>
          <w:sz w:val="18"/>
          <w:szCs w:val="18"/>
          <w:shd w:fill="B5562C" w:val="clear"/>
        </w:rPr>
        <w:t xml:space="preserve"> 3 </w:t>
      </w:r>
      <w:r>
        <w:rPr>
          <w:sz w:val="18"/>
          <w:szCs w:val="18"/>
        </w:rPr>
        <w:t xml:space="preserve">  </w:t>
      </w:r>
      <w:r>
        <w:rPr>
          <w:rFonts w:ascii="Arial" w:cs="Arial" w:eastAsia="Arial" w:hAnsi="Arial"/>
          <w:b/>
          <w:bCs/>
          <w:color w:val="14181D"/>
          <w:sz w:val="22"/>
          <w:szCs w:val="22"/>
        </w:rPr>
        <w:t xml:space="preserve">Перевірте</w:t>
      </w:r>
    </w:p>
    <w:p>
      <w:pPr>
        <w:spacing w:after="60" w:line="276"/>
        <w:ind w:left="360"/>
      </w:pPr>
      <w:r>
        <w:rPr>
          <w:rFonts w:ascii="Georgia" w:cs="Georgia" w:eastAsia="Georgia" w:hAnsi="Georgia"/>
          <w:color w:val="14181D"/>
          <w:sz w:val="20"/>
          <w:szCs w:val="20"/>
        </w:rPr>
        <w:t xml:space="preserve">Прочитайте картки-поради й застереження.</w:t>
      </w:r>
    </w:p>
    <w:tbl>
      <w:tblPr>
        <w:tblW w:type="dxa" w:w="9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14181D" w:val="clear"/>
            <w:tcMar>
              <w:top w:type="dxa" w:w="130"/>
              <w:left w:type="dxa" w:w="170"/>
              <w:bottom w:type="dxa" w:w="14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E8E4DA"/>
                <w:sz w:val="18"/>
                <w:szCs w:val="18"/>
              </w:rPr>
              <w:t xml:space="preserve">ls target/jneopallium-fullrun-demos/demo-04-clinical-advisory/</w:t>
            </w:r>
          </w:p>
        </w:tc>
      </w:tr>
    </w:tbl>
    <w:p>
      <w:pPr>
        <w:spacing w:after="120"/>
      </w:pPr>
    </w:p>
    <w:p>
      <w:pPr>
        <w:pBdr>
          <w:bottom w:val="single" w:color="B5562C" w:sz="22" w:space="1"/>
        </w:pBdr>
        <w:spacing w:after="30" w:before="22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40"/>
      </w:pPr>
      <w:r>
        <w:rPr>
          <w:rFonts w:ascii="Arial" w:cs="Arial" w:eastAsia="Arial" w:hAnsi="Arial"/>
          <w:b/>
          <w:bCs/>
          <w:color w:val="14181D"/>
          <w:sz w:val="34"/>
          <w:szCs w:val="34"/>
        </w:rPr>
        <w:t xml:space="preserve">Чому ADVISORY</w:t>
      </w:r>
    </w:p>
    <w:p>
      <w:pPr>
        <w:spacing w:after="160" w:line="288"/>
        <w:jc w:val="left"/>
      </w:pPr>
      <w:r>
        <w:rPr>
          <w:rFonts w:ascii="Georgia" w:cs="Georgia" w:eastAsia="Georgia" w:hAnsi="Georgia"/>
          <w:color w:val="14181D"/>
          <w:sz w:val="21"/>
          <w:szCs w:val="21"/>
        </w:rPr>
        <w:t xml:space="preserve">Клінічна дія — відповідальність лікаря і, у більшості юрисдикцій, регульований акт; програмна система, що його виконує, успадковує цілком інший тягар ризику й погодження. Рекомендаційна межа тримає цю демонстрацію твердо в підтримці рішень. Щоб під'єднати її до реальної системи записів, ви замінюєте макетний край спостережень клієнтом FHIR, зберігаючи типізований контракт сигналів і рекомендаційну межу — і гарантія, що воно ніколи не виписує призначення, мандрує разом із ним.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rFonts w:ascii="Consolas" w:cs="Consolas" w:eastAsia="Consolas" w:hAnsi="Consolas"/>
        <w:color w:val="6F665A"/>
        <w:sz w:val="14"/>
        <w:szCs w:val="14"/>
      </w:rPr>
      <w:t xml:space="preserve">github.com/rakovpublic/jneopallium</w:t>
    </w:r>
    <w:r>
      <w:rPr>
        <w:rFonts w:ascii="Consolas" w:cs="Consolas" w:eastAsia="Consolas" w:hAnsi="Consolas"/>
        <w:color w:val="6F665A"/>
        <w:sz w:val="14"/>
        <w:szCs w:val="14"/>
      </w:rPr>
      <w:t xml:space="preserve">	Сторінка </w:t>
    </w:r>
    <w:r>
      <w:rPr>
        <w:rFonts w:ascii="Consolas" w:cs="Consolas" w:eastAsia="Consolas" w:hAnsi="Consolas"/>
        <w:color w:val="14181D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AD3C4" w:sz="4" w:space="6"/>
      </w:pBdr>
      <w:tabs>
        <w:tab w:val="right" w:pos="9360"/>
      </w:tabs>
    </w:pPr>
    <w:r>
      <w:rPr>
        <w:rFonts w:ascii="Consolas" w:cs="Consolas" w:eastAsia="Consolas" w:hAnsi="Consolas"/>
        <w:color w:val="6F665A"/>
        <w:spacing w:val="20"/>
        <w:sz w:val="14"/>
        <w:szCs w:val="14"/>
      </w:rPr>
      <w:t xml:space="preserve">Демо 04 · Клінічна підтримка рішень</w:t>
    </w:r>
    <w:r>
      <w:rPr>
        <w:rFonts w:ascii="Consolas" w:cs="Consolas" w:eastAsia="Consolas" w:hAnsi="Consolas"/>
        <w:color w:val="9A9183"/>
        <w:sz w:val="14"/>
        <w:szCs w:val="14"/>
      </w:rPr>
      <w:t xml:space="preserve">	Підтримка рішень, що тримається своєї смуги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80"/>
      </w:pPr>
      <w:rPr>
        <w:color w:val="B5562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Consolas" w:cs="Consolas" w:eastAsia="Consolas" w:hAnsi="Consolas"/>
        <w:b/>
        <w:bCs/>
        <w:color w:val="B5562C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418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4181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70" w:before="200"/>
      <w:outlineLvl w:val="1"/>
    </w:pPr>
    <w:rPr>
      <w:rFonts w:ascii="Arial" w:cs="Arial" w:eastAsia="Arial" w:hAnsi="Arial"/>
      <w:b/>
      <w:bCs/>
      <w:color w:val="232A3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90d77edabfe967c8b8153a84cab8fa9c116da8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2026-06-07T15:44:44.167Z</dcterms:created>
  <dcterms:modified xsi:type="dcterms:W3CDTF">2026-06-07T15:44:44.167Z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