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Consolas" w:cs="Consolas" w:eastAsia="Consolas" w:hAnsi="Consolas"/>
          <w:b/>
          <w:bCs/>
          <w:color w:val="B5562C"/>
          <w:spacing w:val="50"/>
          <w:sz w:val="18"/>
          <w:szCs w:val="18"/>
        </w:rPr>
        <w:t xml:space="preserve">DEMO 07 · OBSERVABILITY</w:t>
      </w:r>
    </w:p>
    <w:p>
      <w:pPr>
        <w:spacing w:after="30"/>
      </w:pPr>
      <w:r>
        <w:rPr>
          <w:rFonts w:ascii="Arial" w:cs="Arial" w:eastAsia="Arial" w:hAnsi="Arial"/>
          <w:b/>
          <w:bCs/>
          <w:color w:val="14181D"/>
          <w:sz w:val="56"/>
          <w:szCs w:val="56"/>
        </w:rPr>
        <w:t xml:space="preserve">Anomalies, Summarized — Never Touching Your System</w:t>
      </w:r>
    </w:p>
    <w:p>
      <w:pPr>
        <w:pBdr>
          <w:bottom w:val="single" w:color="B5562C" w:sz="22" w:space="1"/>
        </w:pBdr>
        <w:spacing w:after="30" w:before="220"/>
      </w:pPr>
      <w:r>
        <w:rPr>
          <w:sz w:val="2"/>
          <w:szCs w:val="2"/>
        </w:rPr>
        <w:t xml:space="preserve"/>
      </w:r>
    </w:p>
    <w:p>
      <w:pPr>
        <w:spacing w:after="120" w:before="120"/>
      </w:pPr>
      <w:r>
        <w:rPr>
          <w:rFonts w:ascii="Georgia" w:cs="Georgia" w:eastAsia="Georgia" w:hAnsi="Georgia"/>
          <w:i/>
          <w:iCs/>
          <w:color w:val="39424B"/>
          <w:sz w:val="26"/>
          <w:szCs w:val="26"/>
        </w:rPr>
        <w:t xml:space="preserve">An export-only telemetry analyzer that turns a latency-and-error spike into an anomaly summary with a window and a root-cause candidate — and can do nothing else.</w:t>
      </w:r>
    </w:p>
    <w:p>
      <w:pPr>
        <w:spacing w:after="60" w:before="60"/>
      </w:pPr>
      <w:r>
        <w:rPr>
          <w:rFonts w:ascii="Arial" w:cs="Arial" w:eastAsia="Arial" w:hAnsi="Arial"/>
          <w:color w:val="655199"/>
          <w:sz w:val="20"/>
          <w:szCs w:val="20"/>
        </w:rPr>
        <w:t xml:space="preserve">▌</w:t>
      </w:r>
      <w:r>
        <w:rPr>
          <w:rFonts w:ascii="Consolas" w:cs="Consolas" w:eastAsia="Consolas" w:hAnsi="Consolas"/>
          <w:b/>
          <w:bCs/>
          <w:color w:val="655199"/>
          <w:sz w:val="17"/>
          <w:szCs w:val="17"/>
          <w:shd w:fill="EFEADF" w:val="clear"/>
        </w:rPr>
        <w:t xml:space="preserve"> EXPORT-ONLY </w:t>
      </w:r>
      <w:r>
        <w:rPr>
          <w:rFonts w:ascii="Georgia" w:cs="Georgia" w:eastAsia="Georgia" w:hAnsi="Georgia"/>
          <w:i/>
          <w:iCs/>
          <w:color w:val="6F665A"/>
          <w:sz w:val="17"/>
          <w:szCs w:val="17"/>
        </w:rPr>
        <w:t xml:space="preserve">  Exports summaries — no control</w:t>
      </w:r>
    </w:p>
    <w:p>
      <w:pPr>
        <w:pBdr>
          <w:top w:val="single" w:color="DAD3C4" w:sz="4" w:space="6"/>
        </w:pBdr>
        <w:spacing w:after="40" w:before="200"/>
      </w:pPr>
    </w:p>
    <w:p>
      <w:r>
        <w:rPr>
          <w:rFonts w:ascii="Consolas" w:cs="Consolas" w:eastAsia="Consolas" w:hAnsi="Consolas"/>
          <w:color w:val="6F665A"/>
          <w:spacing w:val="20"/>
          <w:sz w:val="14"/>
          <w:szCs w:val="14"/>
        </w:rPr>
        <w:t xml:space="preserve">AUTHOR  </w:t>
      </w:r>
      <w:r>
        <w:rPr>
          <w:rFonts w:ascii="Consolas" w:cs="Consolas" w:eastAsia="Consolas" w:hAnsi="Consolas"/>
          <w:color w:val="14181D"/>
          <w:sz w:val="16"/>
          <w:szCs w:val="16"/>
        </w:rPr>
        <w:t xml:space="preserve">Rakovskyi Dmytro</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VERSION  </w:t>
      </w:r>
      <w:r>
        <w:rPr>
          <w:rFonts w:ascii="Consolas" w:cs="Consolas" w:eastAsia="Consolas" w:hAnsi="Consolas"/>
          <w:color w:val="14181D"/>
          <w:sz w:val="16"/>
          <w:szCs w:val="16"/>
        </w:rPr>
        <w:t xml:space="preserve">Full-run demo 07</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DATE  </w:t>
      </w:r>
      <w:r>
        <w:rPr>
          <w:rFonts w:ascii="Consolas" w:cs="Consolas" w:eastAsia="Consolas" w:hAnsi="Consolas"/>
          <w:color w:val="14181D"/>
          <w:sz w:val="16"/>
          <w:szCs w:val="16"/>
        </w:rPr>
        <w:t xml:space="preserve">2026</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REPOSITORY  </w:t>
      </w:r>
      <w:r>
        <w:rPr>
          <w:rFonts w:ascii="Consolas" w:cs="Consolas" w:eastAsia="Consolas" w:hAnsi="Consolas"/>
          <w:color w:val="14181D"/>
          <w:sz w:val="16"/>
          <w:szCs w:val="16"/>
        </w:rPr>
        <w:t xml:space="preserve">github.com/rakovpublic/jneopallium</w:t>
      </w:r>
    </w:p>
    <w:p>
      <w:pPr>
        <w:spacing w:after="60" w:before="260"/>
      </w:pPr>
      <w:r>
        <w:rPr>
          <w:rFonts w:ascii="Georgia" w:cs="Georgia" w:eastAsia="Georgia" w:hAnsi="Georgia"/>
          <w:color w:val="14181D"/>
          <w:sz w:val="25"/>
          <w:szCs w:val="25"/>
        </w:rPr>
        <w:t xml:space="preserve">The fastest way to make a monitoring system dangerous is to let it act. A tool that can scale a service, restart a pod, or flip a feature flag in response to what it thinks it sees has become part of the failure surface it was meant to watch. This demo deliberately gives up that power: it reads metrics, traces, and logs, recognises an anomaly, and exports a summary. It cannot write back to anything, by construction.</w:t>
      </w:r>
    </w:p>
    <w:p>
      <w:pPr>
        <w:pBdr>
          <w:bottom w:val="single" w:color="DAD3C4" w:sz="4" w:space="10"/>
        </w:pBdr>
        <w:spacing w:after="8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What it is</w:t>
      </w:r>
    </w:p>
    <w:p>
      <w:pPr>
        <w:spacing w:after="160" w:line="288"/>
        <w:jc w:val="left"/>
      </w:pPr>
      <w:r>
        <w:rPr>
          <w:rFonts w:ascii="Georgia" w:cs="Georgia" w:eastAsia="Georgia" w:hAnsi="Georgia"/>
          <w:color w:val="14181D"/>
          <w:sz w:val="21"/>
          <w:szCs w:val="21"/>
        </w:rPr>
        <w:t xml:space="preserve">Demo 07 models an OpenTelemetry-style anomaly summarizer for a service, </w:t>
      </w:r>
      <w:r>
        <w:rPr>
          <w:rFonts w:ascii="Consolas" w:cs="Consolas" w:eastAsia="Consolas" w:hAnsi="Consolas"/>
          <w:color w:val="2A2018"/>
          <w:sz w:val="19"/>
          <w:szCs w:val="19"/>
          <w:shd w:fill="ECE6D9" w:val="clear"/>
        </w:rPr>
        <w:t xml:space="preserve">service-checkout</w:t>
      </w:r>
      <w:r>
        <w:rPr>
          <w:rFonts w:ascii="Georgia" w:cs="Georgia" w:eastAsia="Georgia" w:hAnsi="Georgia"/>
          <w:color w:val="14181D"/>
          <w:sz w:val="21"/>
          <w:szCs w:val="21"/>
        </w:rPr>
        <w:t xml:space="preserve">. Its safety ceiling is </w:t>
      </w:r>
      <w:r>
        <w:rPr>
          <w:rFonts w:ascii="Georgia" w:cs="Georgia" w:eastAsia="Georgia" w:hAnsi="Georgia"/>
          <w:b/>
          <w:bCs/>
          <w:color w:val="14181D"/>
          <w:sz w:val="21"/>
          <w:szCs w:val="21"/>
        </w:rPr>
        <w:t xml:space="preserve">EXPORT-ONLY</w:t>
      </w:r>
      <w:r>
        <w:rPr>
          <w:rFonts w:ascii="Georgia" w:cs="Georgia" w:eastAsia="Georgia" w:hAnsi="Georgia"/>
          <w:color w:val="14181D"/>
          <w:sz w:val="21"/>
          <w:szCs w:val="21"/>
        </w:rPr>
        <w:t xml:space="preserve">: it consumes telemetry and emits anomaly records, and there is no result type in its vocabulary that controls or writes back to the monitored system. The network is three layers (sized 4·3·2) — enough to turn raw signals into a feature-level anomaly and a summary.</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How it is wired</w:t>
      </w:r>
    </w:p>
    <w:p>
      <w:pPr>
        <w:spacing w:after="60" w:before="160"/>
        <w:jc w:val="center"/>
      </w:pPr>
      <w:r>
        <w:drawing>
          <wp:inline distT="0" distB="0" distL="0" distR="0">
            <wp:extent cx="4095750" cy="1971675"/>
            <wp:effectExtent t="0" r="0" b="0" l="0"/>
            <wp:docPr id="1" name="diagram" descr="Three layers. The feature layer detects per-dimension anomalies; the result layer summarizes them with a window."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971675"/>
                    </a:xfrm>
                    <a:prstGeom prst="rect">
                      <a:avLst/>
                    </a:prstGeom>
                  </pic:spPr>
                </pic:pic>
              </a:graphicData>
            </a:graphic>
          </wp:inline>
        </w:drawing>
      </w:r>
    </w:p>
    <w:p>
      <w:pPr>
        <w:spacing w:after="160"/>
        <w:jc w:val="center"/>
      </w:pPr>
      <w:r>
        <w:rPr>
          <w:rFonts w:ascii="Consolas" w:cs="Consolas" w:eastAsia="Consolas" w:hAnsi="Consolas"/>
          <w:color w:val="B5562C"/>
          <w:sz w:val="15"/>
          <w:szCs w:val="15"/>
        </w:rPr>
        <w:t xml:space="preserve">Figure  </w:t>
      </w:r>
      <w:r>
        <w:rPr>
          <w:rFonts w:ascii="Georgia" w:cs="Georgia" w:eastAsia="Georgia" w:hAnsi="Georgia"/>
          <w:i/>
          <w:iCs/>
          <w:color w:val="6F665A"/>
          <w:sz w:val="18"/>
          <w:szCs w:val="18"/>
        </w:rPr>
        <w:t xml:space="preserve">Three layers. The feature layer detects per-dimension anomalies; the result layer summarizes them with a window.</w:t>
      </w:r>
    </w:p>
    <w:p>
      <w:pPr>
        <w:spacing w:after="160" w:line="288"/>
        <w:jc w:val="left"/>
      </w:pPr>
      <w:r>
        <w:rPr>
          <w:rFonts w:ascii="Georgia" w:cs="Georgia" w:eastAsia="Georgia" w:hAnsi="Georgia"/>
          <w:color w:val="14181D"/>
          <w:sz w:val="21"/>
          <w:szCs w:val="21"/>
        </w:rPr>
        <w:t xml:space="preserve">Signals are typed: </w:t>
      </w:r>
      <w:r>
        <w:rPr>
          <w:rFonts w:ascii="Consolas" w:cs="Consolas" w:eastAsia="Consolas" w:hAnsi="Consolas"/>
          <w:color w:val="2A2018"/>
          <w:sz w:val="19"/>
          <w:szCs w:val="19"/>
          <w:shd w:fill="ECE6D9" w:val="clear"/>
        </w:rPr>
        <w:t xml:space="preserve">MetricSignal</w:t>
      </w:r>
      <w:r>
        <w:rPr>
          <w:rFonts w:ascii="Georgia" w:cs="Georgia" w:eastAsia="Georgia" w:hAnsi="Georgia"/>
          <w:color w:val="14181D"/>
          <w:sz w:val="21"/>
          <w:szCs w:val="21"/>
        </w:rPr>
        <w:t xml:space="preserve"> carries latency, error rate, and saturation, </w:t>
      </w:r>
      <w:r>
        <w:rPr>
          <w:rFonts w:ascii="Consolas" w:cs="Consolas" w:eastAsia="Consolas" w:hAnsi="Consolas"/>
          <w:color w:val="2A2018"/>
          <w:sz w:val="19"/>
          <w:szCs w:val="19"/>
          <w:shd w:fill="ECE6D9" w:val="clear"/>
        </w:rPr>
        <w:t xml:space="preserve">TraceSignal</w:t>
      </w:r>
      <w:r>
        <w:rPr>
          <w:rFonts w:ascii="Georgia" w:cs="Georgia" w:eastAsia="Georgia" w:hAnsi="Georgia"/>
          <w:color w:val="14181D"/>
          <w:sz w:val="21"/>
          <w:szCs w:val="21"/>
        </w:rPr>
        <w:t xml:space="preserve"> carries span failures, </w:t>
      </w:r>
      <w:r>
        <w:rPr>
          <w:rFonts w:ascii="Consolas" w:cs="Consolas" w:eastAsia="Consolas" w:hAnsi="Consolas"/>
          <w:color w:val="2A2018"/>
          <w:sz w:val="19"/>
          <w:szCs w:val="19"/>
          <w:shd w:fill="ECE6D9" w:val="clear"/>
        </w:rPr>
        <w:t xml:space="preserve">LogEventSignal</w:t>
      </w:r>
      <w:r>
        <w:rPr>
          <w:rFonts w:ascii="Georgia" w:cs="Georgia" w:eastAsia="Georgia" w:hAnsi="Georgia"/>
          <w:color w:val="14181D"/>
          <w:sz w:val="21"/>
          <w:szCs w:val="21"/>
        </w:rPr>
        <w:t xml:space="preserve"> carries log-derived events, and </w:t>
      </w:r>
      <w:r>
        <w:rPr>
          <w:rFonts w:ascii="Consolas" w:cs="Consolas" w:eastAsia="Consolas" w:hAnsi="Consolas"/>
          <w:color w:val="2A2018"/>
          <w:sz w:val="19"/>
          <w:szCs w:val="19"/>
          <w:shd w:fill="ECE6D9" w:val="clear"/>
        </w:rPr>
        <w:t xml:space="preserve">ObservabilityAnomalySignal</w:t>
      </w:r>
      <w:r>
        <w:rPr>
          <w:rFonts w:ascii="Georgia" w:cs="Georgia" w:eastAsia="Georgia" w:hAnsi="Georgia"/>
          <w:color w:val="14181D"/>
          <w:sz w:val="21"/>
          <w:szCs w:val="21"/>
        </w:rPr>
        <w:t xml:space="preserve"> carries the summary. None of these can express a control action.</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What it does</w:t>
      </w:r>
    </w:p>
    <w:p>
      <w:pPr>
        <w:pStyle w:val="ListParagraph"/>
        <w:numPr>
          <w:ilvl w:val="0"/>
          <w:numId w:val="2"/>
        </w:numPr>
        <w:spacing w:after="70" w:line="276"/>
      </w:pPr>
      <w:r>
        <w:rPr>
          <w:rFonts w:ascii="Georgia" w:cs="Georgia" w:eastAsia="Georgia" w:hAnsi="Georgia"/>
          <w:color w:val="14181D"/>
          <w:sz w:val="21"/>
          <w:szCs w:val="21"/>
        </w:rPr>
        <w:t xml:space="preserve">A baseline window produces only normal telemetry export — the analyzer does not invent incidents.</w:t>
      </w:r>
    </w:p>
    <w:p>
      <w:pPr>
        <w:pStyle w:val="ListParagraph"/>
        <w:numPr>
          <w:ilvl w:val="0"/>
          <w:numId w:val="2"/>
        </w:numPr>
        <w:spacing w:after="70" w:line="276"/>
      </w:pPr>
      <w:r>
        <w:rPr>
          <w:rFonts w:ascii="Georgia" w:cs="Georgia" w:eastAsia="Georgia" w:hAnsi="Georgia"/>
          <w:color w:val="14181D"/>
          <w:sz w:val="21"/>
          <w:szCs w:val="21"/>
        </w:rPr>
        <w:t xml:space="preserve">A spike in latency and error rate across ticks 6 through 12 produces an ANOMALY_SUMMARY that names the window start and end.</w:t>
      </w:r>
    </w:p>
    <w:p>
      <w:pPr>
        <w:pStyle w:val="ListParagraph"/>
        <w:numPr>
          <w:ilvl w:val="0"/>
          <w:numId w:val="2"/>
        </w:numPr>
        <w:spacing w:after="70" w:line="276"/>
      </w:pPr>
      <w:r>
        <w:rPr>
          <w:rFonts w:ascii="Georgia" w:cs="Georgia" w:eastAsia="Georgia" w:hAnsi="Georgia"/>
          <w:color w:val="14181D"/>
          <w:sz w:val="21"/>
          <w:szCs w:val="21"/>
        </w:rPr>
        <w:t xml:space="preserve">Each anomaly summary carries a root-cause candidate to point an engineer at the likely dimension — never an action.</w:t>
      </w:r>
    </w:p>
    <w:p>
      <w:pPr>
        <w:spacing w:before="140"/>
      </w:pPr>
    </w:p>
    <w:tbl>
      <w:tblPr>
        <w:tblW w:type="dxa" w:w="9360"/>
        <w:tblBorders>
          <w:top w:val="single" w:color="3C6C8E" w:sz="2"/>
          <w:left w:val="single" w:color="3C6C8E" w:sz="28"/>
          <w:bottom w:val="single" w:color="3C6C8E" w:sz="2"/>
          <w:right w:val="single" w:color="3C6C8E" w:sz="2"/>
          <w:insideH w:val="none"/>
          <w:insideV w:val="none"/>
        </w:tblBorders>
      </w:tblPr>
      <w:tblGrid>
        <w:gridCol w:w="9360"/>
      </w:tblGrid>
      <w:tr>
        <w:tc>
          <w:tcPr>
            <w:tcW w:type="dxa" w:w="9360"/>
            <w:shd w:fill="EAF0F4" w:val="clear"/>
            <w:tcMar>
              <w:top w:type="dxa" w:w="120"/>
              <w:left w:type="dxa" w:w="200"/>
              <w:bottom w:type="dxa" w:w="130"/>
              <w:right w:type="dxa" w:w="180"/>
            </w:tcMar>
          </w:tcPr>
          <w:p>
            <w:pPr>
              <w:spacing w:after="50"/>
            </w:pPr>
            <w:r>
              <w:rPr>
                <w:rFonts w:ascii="Arial" w:cs="Arial" w:eastAsia="Arial" w:hAnsi="Arial"/>
                <w:b/>
                <w:bCs/>
                <w:color w:val="3C6C8E"/>
                <w:spacing w:val="30"/>
                <w:sz w:val="16"/>
                <w:szCs w:val="16"/>
              </w:rPr>
              <w:t xml:space="preserve">NOTE</w:t>
            </w:r>
          </w:p>
          <w:p>
            <w:r>
              <w:rPr>
                <w:rFonts w:ascii="Georgia" w:cs="Georgia" w:eastAsia="Georgia" w:hAnsi="Georgia"/>
                <w:color w:val="14181D"/>
                <w:sz w:val="20"/>
                <w:szCs w:val="20"/>
              </w:rPr>
              <w:t xml:space="preserve">The summary includes a window start and end, so the anomaly is a bounded interval an engineer can investigate — not a vague, perpetual red light.</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The evidence</w:t>
      </w:r>
    </w:p>
    <w:p>
      <w:pPr>
        <w:spacing w:before="140"/>
      </w:pPr>
    </w:p>
    <w:tbl>
      <w:tblPr>
        <w:tblW w:type="dxa" w:w="9360"/>
        <w:tblBorders>
          <w:top w:val="none"/>
          <w:left w:val="none"/>
          <w:bottom w:val="none"/>
          <w:right w:val="none"/>
          <w:insideH w:val="single" w:color="3A434C" w:sz="2"/>
          <w:insideV w:val="none"/>
        </w:tblBorders>
      </w:tblPr>
      <w:tblGrid>
        <w:gridCol w:w="5429"/>
        <w:gridCol w:w="3931"/>
      </w:tblGrid>
      <w:tr>
        <w:tc>
          <w:tcPr>
            <w:tcW w:type="dxa" w:w="9360"/>
            <w:gridSpan w:val="2"/>
            <w:shd w:fill="14181D" w:val="clear"/>
            <w:tcMar>
              <w:top w:type="dxa" w:w="110"/>
              <w:left w:type="dxa" w:w="200"/>
              <w:bottom w:type="dxa" w:w="90"/>
              <w:right w:type="dxa" w:w="180"/>
            </w:tcMar>
          </w:tcPr>
          <w:p>
            <w:r>
              <w:rPr>
                <w:rFonts w:ascii="Consolas" w:cs="Consolas" w:eastAsia="Consolas" w:hAnsi="Consolas"/>
                <w:b/>
                <w:bCs/>
                <w:color w:val="E0A23A"/>
                <w:spacing w:val="30"/>
                <w:sz w:val="16"/>
                <w:szCs w:val="16"/>
              </w:rPr>
              <w:t xml:space="preserve">VERIFICATION EVIDENCE</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Ticks</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90 / 90</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Spike, ticks 6–12</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ANOMALY_SUMMARY with window start/end</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Baseline window</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NORMAL_TELEMETRY_EXPORT</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Writeback / control</w:t>
            </w:r>
          </w:p>
        </w:tc>
        <w:tc>
          <w:tcPr>
            <w:tcW w:type="dxa" w:w="3931"/>
            <w:shd w:fill="14181D" w:val="clear"/>
            <w:tcMar>
              <w:top w:type="dxa" w:w="80"/>
              <w:left w:type="dxa" w:w="120"/>
              <w:bottom w:type="dxa" w:w="80"/>
              <w:right w:type="dxa" w:w="180"/>
            </w:tcMar>
          </w:tcPr>
          <w:p>
            <w:pPr>
              <w:jc w:val="right"/>
            </w:pPr>
            <w:r>
              <w:rPr>
                <w:rFonts w:ascii="Georgia" w:cs="Georgia" w:eastAsia="Georgia" w:hAnsi="Georgia"/>
                <w:b/>
                <w:bCs/>
                <w:color w:val="FFFFFF"/>
                <w:sz w:val="19"/>
                <w:szCs w:val="19"/>
              </w:rPr>
              <w:t xml:space="preserve">none</w:t>
            </w:r>
            <w:r>
              <w:rPr>
                <w:rFonts w:ascii="Georgia" w:cs="Georgia" w:eastAsia="Georgia" w:hAnsi="Georgia"/>
                <w:color w:val="FFFFFF"/>
                <w:sz w:val="19"/>
                <w:szCs w:val="19"/>
              </w:rPr>
              <w:t xml:space="preserve"> — enforced</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Output mode</w:t>
            </w:r>
          </w:p>
        </w:tc>
        <w:tc>
          <w:tcPr>
            <w:tcW w:type="dxa" w:w="3931"/>
            <w:shd w:fill="14181D" w:val="clear"/>
            <w:tcMar>
              <w:top w:type="dxa" w:w="80"/>
              <w:left w:type="dxa" w:w="120"/>
              <w:bottom w:type="dxa" w:w="80"/>
              <w:right w:type="dxa" w:w="180"/>
            </w:tcMar>
          </w:tcPr>
          <w:p>
            <w:pPr>
              <w:jc w:val="right"/>
            </w:pPr>
            <w:r>
              <w:rPr>
                <w:rFonts w:ascii="Georgia" w:cs="Georgia" w:eastAsia="Georgia" w:hAnsi="Georgia"/>
                <w:b/>
                <w:bCs/>
                <w:color w:val="FFFFFF"/>
                <w:sz w:val="19"/>
                <w:szCs w:val="19"/>
              </w:rPr>
              <w:t xml:space="preserve">EXPORT-ONLY</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How to run it</w:t>
      </w:r>
    </w:p>
    <w:p>
      <w:pPr>
        <w:spacing w:after="40" w:before="140"/>
      </w:pPr>
      <w:r>
        <w:rPr>
          <w:rFonts w:ascii="Consolas" w:cs="Consolas" w:eastAsia="Consolas" w:hAnsi="Consolas"/>
          <w:b/>
          <w:bCs/>
          <w:color w:val="FFFFFF"/>
          <w:sz w:val="18"/>
          <w:szCs w:val="18"/>
          <w:shd w:fill="B5562C" w:val="clear"/>
        </w:rPr>
        <w:t xml:space="preserve"> 1 </w:t>
      </w:r>
      <w:r>
        <w:rPr>
          <w:sz w:val="18"/>
          <w:szCs w:val="18"/>
        </w:rPr>
        <w:t xml:space="preserve">  </w:t>
      </w:r>
      <w:r>
        <w:rPr>
          <w:rFonts w:ascii="Arial" w:cs="Arial" w:eastAsia="Arial" w:hAnsi="Arial"/>
          <w:b/>
          <w:bCs/>
          <w:color w:val="14181D"/>
          <w:sz w:val="22"/>
          <w:szCs w:val="22"/>
        </w:rPr>
        <w:t xml:space="preserve">Build</w:t>
      </w:r>
    </w:p>
    <w:p>
      <w:pPr>
        <w:spacing w:after="60" w:line="276"/>
        <w:ind w:left="360"/>
      </w:pPr>
      <w:r>
        <w:rPr>
          <w:rFonts w:ascii="Georgia" w:cs="Georgia" w:eastAsia="Georgia" w:hAnsi="Georgia"/>
          <w:color w:val="14181D"/>
          <w:sz w:val="20"/>
          <w:szCs w:val="20"/>
        </w:rPr>
        <w:t xml:space="preserve">Build the worker and the demo model JAR.</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mvn -q -pl worker -am package</w:t>
            </w:r>
          </w:p>
        </w:tc>
      </w:tr>
    </w:tbl>
    <w:p>
      <w:pPr>
        <w:spacing w:after="40" w:before="120"/>
      </w:pPr>
      <w:r>
        <w:rPr>
          <w:rFonts w:ascii="Consolas" w:cs="Consolas" w:eastAsia="Consolas" w:hAnsi="Consolas"/>
          <w:b/>
          <w:bCs/>
          <w:color w:val="FFFFFF"/>
          <w:sz w:val="18"/>
          <w:szCs w:val="18"/>
          <w:shd w:fill="B5562C" w:val="clear"/>
        </w:rPr>
        <w:t xml:space="preserve"> 2 </w:t>
      </w:r>
      <w:r>
        <w:rPr>
          <w:sz w:val="18"/>
          <w:szCs w:val="18"/>
        </w:rPr>
        <w:t xml:space="preserve">  </w:t>
      </w:r>
      <w:r>
        <w:rPr>
          <w:rFonts w:ascii="Arial" w:cs="Arial" w:eastAsia="Arial" w:hAnsi="Arial"/>
          <w:b/>
          <w:bCs/>
          <w:color w:val="14181D"/>
          <w:sz w:val="22"/>
          <w:szCs w:val="22"/>
        </w:rPr>
        <w:t xml:space="preserve">Run via the framework entry point</w:t>
      </w:r>
    </w:p>
    <w:p>
      <w:pPr>
        <w:spacing w:after="60" w:line="276"/>
        <w:ind w:left="360"/>
      </w:pPr>
      <w:r>
        <w:rPr>
          <w:rFonts w:ascii="Georgia" w:cs="Georgia" w:eastAsia="Georgia" w:hAnsi="Georgia"/>
          <w:color w:val="14181D"/>
          <w:sz w:val="20"/>
          <w:szCs w:val="20"/>
        </w:rPr>
        <w:t xml:space="preserve">Entry loads the model JAR and the demo context through the real local path.</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java -cp demo-model.jar \</w:t>
            </w:r>
          </w:p>
          <w:p>
            <w:pPr>
              <w:spacing w:after="0" w:line="250"/>
            </w:pPr>
            <w:r>
              <w:rPr>
                <w:rFonts w:ascii="Consolas" w:cs="Consolas" w:eastAsia="Consolas" w:hAnsi="Consolas"/>
                <w:color w:val="E8E4DA"/>
                <w:sz w:val="18"/>
                <w:szCs w:val="18"/>
              </w:rPr>
              <w:t xml:space="preserve">  com.rakovpublic.jneuropallium.worker.application.Entry \</w:t>
            </w:r>
          </w:p>
          <w:p>
            <w:pPr>
              <w:spacing w:after="0" w:line="250"/>
            </w:pPr>
            <w:r>
              <w:rPr>
                <w:rFonts w:ascii="Consolas" w:cs="Consolas" w:eastAsia="Consolas" w:hAnsi="Consolas"/>
                <w:color w:val="E8E4DA"/>
                <w:sz w:val="18"/>
                <w:szCs w:val="18"/>
              </w:rPr>
              <w:t xml:space="preserve">  local file:///path/to/demo-model.jar \</w:t>
            </w:r>
          </w:p>
          <w:p>
            <w:pPr>
              <w:spacing w:after="0" w:line="250"/>
            </w:pPr>
            <w:r>
              <w:rPr>
                <w:rFonts w:ascii="Consolas" w:cs="Consolas" w:eastAsia="Consolas" w:hAnsi="Consolas"/>
                <w:color w:val="E8E4DA"/>
                <w:sz w:val="18"/>
                <w:szCs w:val="18"/>
              </w:rPr>
              <w:t xml:space="preserve">  com.rakovpublic.jneuropallium.worker.demo.fullrun.runtime.DemoJsonContext \</w:t>
            </w:r>
          </w:p>
          <w:p>
            <w:pPr>
              <w:spacing w:after="0" w:line="250"/>
            </w:pPr>
            <w:r>
              <w:rPr>
                <w:rFonts w:ascii="Consolas" w:cs="Consolas" w:eastAsia="Consolas" w:hAnsi="Consolas"/>
                <w:color w:val="E8E4DA"/>
                <w:sz w:val="18"/>
                <w:szCs w:val="18"/>
              </w:rPr>
              <w:t xml:space="preserve">  context.json</w:t>
            </w:r>
          </w:p>
        </w:tc>
      </w:tr>
    </w:tbl>
    <w:p>
      <w:pPr>
        <w:spacing w:after="40" w:before="120"/>
      </w:pPr>
      <w:r>
        <w:rPr>
          <w:rFonts w:ascii="Consolas" w:cs="Consolas" w:eastAsia="Consolas" w:hAnsi="Consolas"/>
          <w:b/>
          <w:bCs/>
          <w:color w:val="FFFFFF"/>
          <w:sz w:val="18"/>
          <w:szCs w:val="18"/>
          <w:shd w:fill="B5562C" w:val="clear"/>
        </w:rPr>
        <w:t xml:space="preserve"> 3 </w:t>
      </w:r>
      <w:r>
        <w:rPr>
          <w:sz w:val="18"/>
          <w:szCs w:val="18"/>
        </w:rPr>
        <w:t xml:space="preserve">  </w:t>
      </w:r>
      <w:r>
        <w:rPr>
          <w:rFonts w:ascii="Arial" w:cs="Arial" w:eastAsia="Arial" w:hAnsi="Arial"/>
          <w:b/>
          <w:bCs/>
          <w:color w:val="14181D"/>
          <w:sz w:val="22"/>
          <w:szCs w:val="22"/>
        </w:rPr>
        <w:t xml:space="preserve">Inspect</w:t>
      </w:r>
    </w:p>
    <w:p>
      <w:pPr>
        <w:spacing w:after="60" w:line="276"/>
        <w:ind w:left="360"/>
      </w:pPr>
      <w:r>
        <w:rPr>
          <w:rFonts w:ascii="Georgia" w:cs="Georgia" w:eastAsia="Georgia" w:hAnsi="Georgia"/>
          <w:color w:val="14181D"/>
          <w:sz w:val="20"/>
          <w:szCs w:val="20"/>
        </w:rPr>
        <w:t xml:space="preserve">Read the exported anomaly summaries.</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ls target/jneopallium-fullrun-demos/demo-07-observability/</w:t>
            </w:r>
          </w:p>
        </w:tc>
      </w:tr>
    </w:tbl>
    <w:p>
      <w:pPr>
        <w:spacing w:after="12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Why EXPORT-ONLY</w:t>
      </w:r>
    </w:p>
    <w:p>
      <w:pPr>
        <w:spacing w:after="160" w:line="288"/>
        <w:jc w:val="left"/>
      </w:pPr>
      <w:r>
        <w:rPr>
          <w:rFonts w:ascii="Georgia" w:cs="Georgia" w:eastAsia="Georgia" w:hAnsi="Georgia"/>
          <w:color w:val="14181D"/>
          <w:sz w:val="21"/>
          <w:szCs w:val="21"/>
        </w:rPr>
        <w:t xml:space="preserve">Auto-remediation is attractive right up to the first time a monitoring system amplifies an outage by acting on a misread signal. The export-only ceiling keeps this demo strictly an observer: it produces records for your pipeline and dashboards and nothing more. To run it on live telemetry you replace the mock metrics edge with a real OpenTelemetry collector while preserving the typed signal contract and the export-only ceiling — and the guarantee that it never writes back to your services travels with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onsolas" w:cs="Consolas" w:eastAsia="Consolas" w:hAnsi="Consolas"/>
        <w:color w:val="6F665A"/>
        <w:sz w:val="14"/>
        <w:szCs w:val="14"/>
      </w:rPr>
      <w:t xml:space="preserve">github.com/rakovpublic/jneopallium</w:t>
    </w:r>
    <w:r>
      <w:rPr>
        <w:rFonts w:ascii="Consolas" w:cs="Consolas" w:eastAsia="Consolas" w:hAnsi="Consolas"/>
        <w:color w:val="6F665A"/>
        <w:sz w:val="14"/>
        <w:szCs w:val="14"/>
      </w:rPr>
      <w:t xml:space="preserve">	Page </w:t>
    </w:r>
    <w:r>
      <w:rPr>
        <w:rFonts w:ascii="Consolas" w:cs="Consolas" w:eastAsia="Consolas" w:hAnsi="Consolas"/>
        <w:color w:val="14181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3C4" w:sz="4" w:space="6"/>
      </w:pBdr>
      <w:tabs>
        <w:tab w:val="right" w:pos="9360"/>
      </w:tabs>
    </w:pPr>
    <w:r>
      <w:rPr>
        <w:rFonts w:ascii="Consolas" w:cs="Consolas" w:eastAsia="Consolas" w:hAnsi="Consolas"/>
        <w:color w:val="6F665A"/>
        <w:spacing w:val="20"/>
        <w:sz w:val="14"/>
        <w:szCs w:val="14"/>
      </w:rPr>
      <w:t xml:space="preserve">Demo 07 · Observability</w:t>
    </w:r>
    <w:r>
      <w:rPr>
        <w:rFonts w:ascii="Consolas" w:cs="Consolas" w:eastAsia="Consolas" w:hAnsi="Consolas"/>
        <w:color w:val="9A9183"/>
        <w:sz w:val="14"/>
        <w:szCs w:val="14"/>
      </w:rPr>
      <w:t xml:space="preserve">	Anomalies, Summarized — Never Touching Your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B5562C"/>
      </w:rPr>
    </w:lvl>
  </w:abstractNum>
  <w:abstractNum w:abstractNumId="3" w15:restartNumberingAfterBreak="0">
    <w:multiLevelType w:val="hybridMultilevel"/>
    <w:lvl w:ilvl="0" w15:tentative="1">
      <w:start w:val="1"/>
      <w:numFmt w:val="decimal"/>
      <w:lvlText w:val="%1."/>
      <w:lvlJc w:val="left"/>
      <w:pPr>
        <w:ind w:left="460" w:hanging="300"/>
      </w:pPr>
      <w:rPr>
        <w:rFonts w:ascii="Consolas" w:cs="Consolas" w:eastAsia="Consolas" w:hAnsi="Consolas"/>
        <w:b/>
        <w:bCs/>
        <w:color w:val="B556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4181D"/>
      <w:sz w:val="34"/>
      <w:szCs w:val="34"/>
    </w:rPr>
  </w:style>
  <w:style w:type="paragraph" w:styleId="Heading2">
    <w:name w:val="Heading 2"/>
    <w:basedOn w:val="Normal"/>
    <w:next w:val="Normal"/>
    <w:qFormat/>
    <w:pPr>
      <w:spacing w:after="70" w:before="200"/>
      <w:outlineLvl w:val="1"/>
    </w:pPr>
    <w:rPr>
      <w:rFonts w:ascii="Arial" w:cs="Arial" w:eastAsia="Arial" w:hAnsi="Arial"/>
      <w:b/>
      <w:bCs/>
      <w:color w:val="232A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356558b33335ee4176478f99858c20df21e3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2026-06-07T15:44:48.311Z</dcterms:created>
  <dcterms:modified xsi:type="dcterms:W3CDTF">2026-06-07T15:44:48.311Z</dcterms:modified>
</cp:coreProperties>
</file>

<file path=docProps/custom.xml><?xml version="1.0" encoding="utf-8"?>
<Properties xmlns="http://schemas.openxmlformats.org/officeDocument/2006/custom-properties" xmlns:vt="http://schemas.openxmlformats.org/officeDocument/2006/docPropsVTypes"/>
</file>