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"/>
      </w:pPr>
      <w:r>
        <w:rPr>
          <w:rFonts w:ascii="Consolas" w:cs="Consolas" w:eastAsia="Consolas" w:hAnsi="Consolas"/>
          <w:b/>
          <w:bCs/>
          <w:color w:val="B5562C"/>
          <w:spacing w:val="50"/>
          <w:sz w:val="18"/>
          <w:szCs w:val="18"/>
        </w:rPr>
        <w:t xml:space="preserve">DEMO 08 · ADAPTIVE TUTORING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14181D"/>
          <w:sz w:val="56"/>
          <w:szCs w:val="56"/>
        </w:rPr>
        <w:t xml:space="preserve">A Tutor That Reads the Room</w:t>
      </w:r>
    </w:p>
    <w:p>
      <w:pPr>
        <w:pBdr>
          <w:bottom w:val="single" w:color="B5562C" w:sz="22" w:space="1"/>
        </w:pBdr>
        <w:spacing w:after="30" w:before="220"/>
      </w:pPr>
      <w:r>
        <w:rPr>
          <w:sz w:val="2"/>
          <w:szCs w:val="2"/>
        </w:rPr>
        <w:t xml:space="preserve"/>
      </w:r>
    </w:p>
    <w:p>
      <w:pPr>
        <w:spacing w:after="120" w:before="120"/>
      </w:pPr>
      <w:r>
        <w:rPr>
          <w:rFonts w:ascii="Georgia" w:cs="Georgia" w:eastAsia="Georgia" w:hAnsi="Georgia"/>
          <w:i/>
          <w:iCs/>
          <w:color w:val="39424B"/>
          <w:sz w:val="26"/>
          <w:szCs w:val="26"/>
        </w:rPr>
        <w:t xml:space="preserve">A learner-state model that recommends a hint and easier work for a struggling student — and harder work for a strong one — as advice to the platform, never an imposed action.</w:t>
      </w:r>
    </w:p>
    <w:p>
      <w:pPr>
        <w:spacing w:after="60" w:before="60"/>
      </w:pPr>
      <w:r>
        <w:rPr>
          <w:rFonts w:ascii="Arial" w:cs="Arial" w:eastAsia="Arial" w:hAnsi="Arial"/>
          <w:color w:val="B98724"/>
          <w:sz w:val="20"/>
          <w:szCs w:val="20"/>
        </w:rPr>
        <w:t xml:space="preserve">▌</w:t>
      </w:r>
      <w:r>
        <w:rPr>
          <w:rFonts w:ascii="Consolas" w:cs="Consolas" w:eastAsia="Consolas" w:hAnsi="Consolas"/>
          <w:b/>
          <w:bCs/>
          <w:color w:val="B98724"/>
          <w:sz w:val="17"/>
          <w:szCs w:val="17"/>
          <w:shd w:fill="EFEADF" w:val="clear"/>
        </w:rPr>
        <w:t xml:space="preserve"> ADVISORY </w:t>
      </w:r>
      <w:r>
        <w:rPr>
          <w:rFonts w:ascii="Georgia" w:cs="Georgia" w:eastAsia="Georgia" w:hAnsi="Georgia"/>
          <w:i/>
          <w:iCs/>
          <w:color w:val="6F665A"/>
          <w:sz w:val="17"/>
          <w:szCs w:val="17"/>
        </w:rPr>
        <w:t xml:space="preserve">  Recommends only — no autonomous writes</w:t>
      </w:r>
    </w:p>
    <w:p>
      <w:pPr>
        <w:pBdr>
          <w:top w:val="single" w:color="DAD3C4" w:sz="4" w:space="6"/>
        </w:pBdr>
        <w:spacing w:after="40" w:before="200"/>
      </w:pPr>
    </w:p>
    <w:p>
      <w:r>
        <w:rPr>
          <w:rFonts w:ascii="Consolas" w:cs="Consolas" w:eastAsia="Consolas" w:hAnsi="Consolas"/>
          <w:color w:val="6F665A"/>
          <w:spacing w:val="20"/>
          <w:sz w:val="14"/>
          <w:szCs w:val="14"/>
        </w:rPr>
        <w:t xml:space="preserve">AUTHOR  </w:t>
      </w:r>
      <w:r>
        <w:rPr>
          <w:rFonts w:ascii="Consolas" w:cs="Consolas" w:eastAsia="Consolas" w:hAnsi="Consolas"/>
          <w:color w:val="14181D"/>
          <w:sz w:val="16"/>
          <w:szCs w:val="16"/>
        </w:rPr>
        <w:t xml:space="preserve">Rakovskyi Dmytro</w:t>
      </w:r>
      <w:r>
        <w:rPr>
          <w:rFonts w:ascii="Consolas" w:cs="Consolas" w:eastAsia="Consolas" w:hAnsi="Consolas"/>
          <w:color w:val="DAD3C4"/>
          <w:sz w:val="16"/>
          <w:szCs w:val="16"/>
        </w:rPr>
        <w:t xml:space="preserve">    ·    </w:t>
      </w:r>
      <w:r>
        <w:rPr>
          <w:rFonts w:ascii="Consolas" w:cs="Consolas" w:eastAsia="Consolas" w:hAnsi="Consolas"/>
          <w:color w:val="6F665A"/>
          <w:spacing w:val="20"/>
          <w:sz w:val="14"/>
          <w:szCs w:val="14"/>
        </w:rPr>
        <w:t xml:space="preserve">VERSION  </w:t>
      </w:r>
      <w:r>
        <w:rPr>
          <w:rFonts w:ascii="Consolas" w:cs="Consolas" w:eastAsia="Consolas" w:hAnsi="Consolas"/>
          <w:color w:val="14181D"/>
          <w:sz w:val="16"/>
          <w:szCs w:val="16"/>
        </w:rPr>
        <w:t xml:space="preserve">Full-run demo 08</w:t>
      </w:r>
      <w:r>
        <w:rPr>
          <w:rFonts w:ascii="Consolas" w:cs="Consolas" w:eastAsia="Consolas" w:hAnsi="Consolas"/>
          <w:color w:val="DAD3C4"/>
          <w:sz w:val="16"/>
          <w:szCs w:val="16"/>
        </w:rPr>
        <w:t xml:space="preserve">    ·    </w:t>
      </w:r>
      <w:r>
        <w:rPr>
          <w:rFonts w:ascii="Consolas" w:cs="Consolas" w:eastAsia="Consolas" w:hAnsi="Consolas"/>
          <w:color w:val="6F665A"/>
          <w:spacing w:val="20"/>
          <w:sz w:val="14"/>
          <w:szCs w:val="14"/>
        </w:rPr>
        <w:t xml:space="preserve">DATE  </w:t>
      </w:r>
      <w:r>
        <w:rPr>
          <w:rFonts w:ascii="Consolas" w:cs="Consolas" w:eastAsia="Consolas" w:hAnsi="Consolas"/>
          <w:color w:val="14181D"/>
          <w:sz w:val="16"/>
          <w:szCs w:val="16"/>
        </w:rPr>
        <w:t xml:space="preserve">2026</w:t>
      </w:r>
      <w:r>
        <w:rPr>
          <w:rFonts w:ascii="Consolas" w:cs="Consolas" w:eastAsia="Consolas" w:hAnsi="Consolas"/>
          <w:color w:val="DAD3C4"/>
          <w:sz w:val="16"/>
          <w:szCs w:val="16"/>
        </w:rPr>
        <w:t xml:space="preserve">    ·    </w:t>
      </w:r>
      <w:r>
        <w:rPr>
          <w:rFonts w:ascii="Consolas" w:cs="Consolas" w:eastAsia="Consolas" w:hAnsi="Consolas"/>
          <w:color w:val="6F665A"/>
          <w:spacing w:val="20"/>
          <w:sz w:val="14"/>
          <w:szCs w:val="14"/>
        </w:rPr>
        <w:t xml:space="preserve">REPOSITORY  </w:t>
      </w:r>
      <w:r>
        <w:rPr>
          <w:rFonts w:ascii="Consolas" w:cs="Consolas" w:eastAsia="Consolas" w:hAnsi="Consolas"/>
          <w:color w:val="14181D"/>
          <w:sz w:val="16"/>
          <w:szCs w:val="16"/>
        </w:rPr>
        <w:t xml:space="preserve">github.com/rakovpublic/jneopallium</w:t>
      </w:r>
    </w:p>
    <w:p>
      <w:pPr>
        <w:spacing w:after="60" w:before="260"/>
      </w:pPr>
      <w:r>
        <w:rPr>
          <w:rFonts w:ascii="Georgia" w:cs="Georgia" w:eastAsia="Georgia" w:hAnsi="Georgia"/>
          <w:color w:val="14181D"/>
          <w:sz w:val="25"/>
          <w:szCs w:val="25"/>
        </w:rPr>
        <w:t xml:space="preserve">The difference between a good tutor and a bad one is rarely the material; it is timing. Push a frustrated student harder and they quit; coast a strong one and they switch off. This demo watches the signals a human tutor reads — whether answers are right, how long they take, whether hints get asked for — and infers mastery, frustration, and engagement, then recommends the next move. It advises the learning platform; it never seizes control of the lesson.</w:t>
      </w:r>
    </w:p>
    <w:p>
      <w:pPr>
        <w:pBdr>
          <w:bottom w:val="single" w:color="DAD3C4" w:sz="4" w:space="10"/>
        </w:pBdr>
        <w:spacing w:after="80"/>
      </w:pPr>
    </w:p>
    <w:p>
      <w:pPr>
        <w:pBdr>
          <w:bottom w:val="single" w:color="B5562C" w:sz="22" w:space="1"/>
        </w:pBdr>
        <w:spacing w:after="30" w:before="220"/>
      </w:pPr>
      <w:r>
        <w:rPr>
          <w:sz w:val="2"/>
          <w:szCs w:val="2"/>
        </w:rPr>
        <w:t xml:space="preserve"/>
      </w:r>
    </w:p>
    <w:p>
      <w:pPr>
        <w:pStyle w:val="Heading1"/>
        <w:spacing w:after="120" w:before="40"/>
      </w:pPr>
      <w:r>
        <w:rPr>
          <w:rFonts w:ascii="Arial" w:cs="Arial" w:eastAsia="Arial" w:hAnsi="Arial"/>
          <w:b/>
          <w:bCs/>
          <w:color w:val="14181D"/>
          <w:sz w:val="34"/>
          <w:szCs w:val="34"/>
        </w:rPr>
        <w:t xml:space="preserve">What it is</w:t>
      </w:r>
    </w:p>
    <w:p>
      <w:pPr>
        <w:spacing w:after="160" w:line="288"/>
        <w:jc w:val="left"/>
      </w:pPr>
      <w:r>
        <w:rPr>
          <w:rFonts w:ascii="Georgia" w:cs="Georgia" w:eastAsia="Georgia" w:hAnsi="Georgia"/>
          <w:color w:val="14181D"/>
          <w:sz w:val="21"/>
          <w:szCs w:val="21"/>
        </w:rPr>
        <w:t xml:space="preserve">Demo 08 models adaptive tutoring over an LTI/xAPI-style stream of learner events. Its safety ceiling is </w:t>
      </w:r>
      <w:r>
        <w:rPr>
          <w:rFonts w:ascii="Georgia" w:cs="Georgia" w:eastAsia="Georgia" w:hAnsi="Georgia"/>
          <w:b/>
          <w:bCs/>
          <w:color w:val="14181D"/>
          <w:sz w:val="21"/>
          <w:szCs w:val="21"/>
        </w:rPr>
        <w:t xml:space="preserve">ADVISORY</w:t>
      </w:r>
      <w:r>
        <w:rPr>
          <w:rFonts w:ascii="Georgia" w:cs="Georgia" w:eastAsia="Georgia" w:hAnsi="Georgia"/>
          <w:color w:val="14181D"/>
          <w:sz w:val="21"/>
          <w:szCs w:val="21"/>
        </w:rPr>
        <w:t xml:space="preserve">: it recommends a difficulty change or a hint, and the platform — and ultimately the educator — decides. The network is four layers (sized 4·3·2·2), enough to turn raw learning events into an affect-and-mastery estimate and a recommendation.</w:t>
      </w:r>
    </w:p>
    <w:p>
      <w:pPr>
        <w:pBdr>
          <w:bottom w:val="single" w:color="B5562C" w:sz="22" w:space="1"/>
        </w:pBdr>
        <w:spacing w:after="30" w:before="220"/>
      </w:pPr>
      <w:r>
        <w:rPr>
          <w:sz w:val="2"/>
          <w:szCs w:val="2"/>
        </w:rPr>
        <w:t xml:space="preserve"/>
      </w:r>
    </w:p>
    <w:p>
      <w:pPr>
        <w:pStyle w:val="Heading1"/>
        <w:spacing w:after="120" w:before="40"/>
      </w:pPr>
      <w:r>
        <w:rPr>
          <w:rFonts w:ascii="Arial" w:cs="Arial" w:eastAsia="Arial" w:hAnsi="Arial"/>
          <w:b/>
          <w:bCs/>
          <w:color w:val="14181D"/>
          <w:sz w:val="34"/>
          <w:szCs w:val="34"/>
        </w:rPr>
        <w:t xml:space="preserve">How it is wired</w:t>
      </w:r>
    </w:p>
    <w:p>
      <w:pPr>
        <w:spacing w:after="60" w:before="160"/>
        <w:jc w:val="center"/>
      </w:pPr>
      <w:r>
        <w:drawing>
          <wp:inline distT="0" distB="0" distL="0" distR="0">
            <wp:extent cx="4095750" cy="2628900"/>
            <wp:effectExtent t="0" r="0" b="0" l="0"/>
            <wp:docPr id="1" name="diagram" descr="Four layers. A feature layer estimates the learner's state; a policy layer turns it into a recommendation.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onsolas" w:cs="Consolas" w:eastAsia="Consolas" w:hAnsi="Consolas"/>
          <w:color w:val="B5562C"/>
          <w:sz w:val="15"/>
          <w:szCs w:val="15"/>
        </w:rPr>
        <w:t xml:space="preserve">Figure  </w:t>
      </w:r>
      <w:r>
        <w:rPr>
          <w:rFonts w:ascii="Georgia" w:cs="Georgia" w:eastAsia="Georgia" w:hAnsi="Georgia"/>
          <w:i/>
          <w:iCs/>
          <w:color w:val="6F665A"/>
          <w:sz w:val="18"/>
          <w:szCs w:val="18"/>
        </w:rPr>
        <w:t xml:space="preserve">Four layers. A feature layer estimates the learner's state; a policy layer turns it into a recommendation.</w:t>
      </w:r>
    </w:p>
    <w:p>
      <w:pPr>
        <w:spacing w:after="160" w:line="288"/>
        <w:jc w:val="left"/>
      </w:pPr>
      <w:r>
        <w:rPr>
          <w:rFonts w:ascii="Georgia" w:cs="Georgia" w:eastAsia="Georgia" w:hAnsi="Georgia"/>
          <w:color w:val="14181D"/>
          <w:sz w:val="21"/>
          <w:szCs w:val="21"/>
        </w:rPr>
        <w:t xml:space="preserve">Signals are typed: </w:t>
      </w:r>
      <w:r>
        <w:rPr>
          <w:rFonts w:ascii="Consolas" w:cs="Consolas" w:eastAsia="Consolas" w:hAnsi="Consolas"/>
          <w:color w:val="2A2018"/>
          <w:sz w:val="19"/>
          <w:szCs w:val="19"/>
          <w:shd w:fill="ECE6D9" w:val="clear"/>
        </w:rPr>
        <w:t xml:space="preserve">LearnerEventSignal</w:t>
      </w:r>
      <w:r>
        <w:rPr>
          <w:rFonts w:ascii="Georgia" w:cs="Georgia" w:eastAsia="Georgia" w:hAnsi="Georgia"/>
          <w:color w:val="14181D"/>
          <w:sz w:val="21"/>
          <w:szCs w:val="21"/>
        </w:rPr>
        <w:t xml:space="preserve"> carries the raw events, </w:t>
      </w:r>
      <w:r>
        <w:rPr>
          <w:rFonts w:ascii="Consolas" w:cs="Consolas" w:eastAsia="Consolas" w:hAnsi="Consolas"/>
          <w:color w:val="2A2018"/>
          <w:sz w:val="19"/>
          <w:szCs w:val="19"/>
          <w:shd w:fill="ECE6D9" w:val="clear"/>
        </w:rPr>
        <w:t xml:space="preserve">MasterySignal</w:t>
      </w:r>
      <w:r>
        <w:rPr>
          <w:rFonts w:ascii="Georgia" w:cs="Georgia" w:eastAsia="Georgia" w:hAnsi="Georgia"/>
          <w:color w:val="14181D"/>
          <w:sz w:val="21"/>
          <w:szCs w:val="21"/>
        </w:rPr>
        <w:t xml:space="preserve"> carries the competence estimate, </w:t>
      </w:r>
      <w:r>
        <w:rPr>
          <w:rFonts w:ascii="Consolas" w:cs="Consolas" w:eastAsia="Consolas" w:hAnsi="Consolas"/>
          <w:color w:val="2A2018"/>
          <w:sz w:val="19"/>
          <w:szCs w:val="19"/>
          <w:shd w:fill="ECE6D9" w:val="clear"/>
        </w:rPr>
        <w:t xml:space="preserve">AffectSignal</w:t>
      </w:r>
      <w:r>
        <w:rPr>
          <w:rFonts w:ascii="Georgia" w:cs="Georgia" w:eastAsia="Georgia" w:hAnsi="Georgia"/>
          <w:color w:val="14181D"/>
          <w:sz w:val="21"/>
          <w:szCs w:val="21"/>
        </w:rPr>
        <w:t xml:space="preserve"> carries frustration and engagement, and </w:t>
      </w:r>
      <w:r>
        <w:rPr>
          <w:rFonts w:ascii="Consolas" w:cs="Consolas" w:eastAsia="Consolas" w:hAnsi="Consolas"/>
          <w:color w:val="2A2018"/>
          <w:sz w:val="19"/>
          <w:szCs w:val="19"/>
          <w:shd w:fill="ECE6D9" w:val="clear"/>
        </w:rPr>
        <w:t xml:space="preserve">TutorAdvisorySignal</w:t>
      </w:r>
      <w:r>
        <w:rPr>
          <w:rFonts w:ascii="Georgia" w:cs="Georgia" w:eastAsia="Georgia" w:hAnsi="Georgia"/>
          <w:color w:val="14181D"/>
          <w:sz w:val="21"/>
          <w:szCs w:val="21"/>
        </w:rPr>
        <w:t xml:space="preserve"> carries the recommendation.</w:t>
      </w:r>
    </w:p>
    <w:p>
      <w:pPr>
        <w:pBdr>
          <w:bottom w:val="single" w:color="B5562C" w:sz="22" w:space="1"/>
        </w:pBdr>
        <w:spacing w:after="30" w:before="220"/>
      </w:pPr>
      <w:r>
        <w:rPr>
          <w:sz w:val="2"/>
          <w:szCs w:val="2"/>
        </w:rPr>
        <w:t xml:space="preserve"/>
      </w:r>
    </w:p>
    <w:p>
      <w:pPr>
        <w:pStyle w:val="Heading1"/>
        <w:spacing w:after="120" w:before="40"/>
      </w:pPr>
      <w:r>
        <w:rPr>
          <w:rFonts w:ascii="Arial" w:cs="Arial" w:eastAsia="Arial" w:hAnsi="Arial"/>
          <w:b/>
          <w:bCs/>
          <w:color w:val="14181D"/>
          <w:sz w:val="34"/>
          <w:szCs w:val="34"/>
        </w:rPr>
        <w:t xml:space="preserve">What it does</w:t>
      </w:r>
    </w:p>
    <w:p>
      <w:pPr>
        <w:spacing w:after="160" w:line="288"/>
        <w:jc w:val="left"/>
      </w:pPr>
      <w:r>
        <w:rPr>
          <w:rFonts w:ascii="Georgia" w:cs="Georgia" w:eastAsia="Georgia" w:hAnsi="Georgia"/>
          <w:color w:val="14181D"/>
          <w:sz w:val="21"/>
          <w:szCs w:val="21"/>
        </w:rPr>
        <w:t xml:space="preserve">Two synthetic learners run through the same model, and the recommendations diverge exactly as a good tutor's would.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b/>
          <w:bCs/>
          <w:color w:val="14181D"/>
          <w:sz w:val="21"/>
          <w:szCs w:val="21"/>
        </w:rPr>
        <w:t xml:space="preserve">A struggling learner</w:t>
      </w:r>
      <w:r>
        <w:rPr>
          <w:sz w:val="21"/>
          <w:szCs w:val="21"/>
        </w:rPr>
        <w:t xml:space="preserve"> — </w:t>
      </w:r>
      <w:r>
        <w:rPr>
          <w:rFonts w:ascii="Georgia" w:cs="Georgia" w:eastAsia="Georgia" w:hAnsi="Georgia"/>
          <w:color w:val="14181D"/>
          <w:sz w:val="21"/>
          <w:szCs w:val="21"/>
        </w:rPr>
        <w:t xml:space="preserve">repeated wrong answers and long response times — earns a recommendation to offer a hint and lower the difficulty.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b/>
          <w:bCs/>
          <w:color w:val="14181D"/>
          <w:sz w:val="21"/>
          <w:szCs w:val="21"/>
        </w:rPr>
        <w:t xml:space="preserve">A strong learner</w:t>
      </w:r>
      <w:r>
        <w:rPr>
          <w:sz w:val="21"/>
          <w:szCs w:val="21"/>
        </w:rPr>
        <w:t xml:space="preserve"> — </w:t>
      </w:r>
      <w:r>
        <w:rPr>
          <w:rFonts w:ascii="Georgia" w:cs="Georgia" w:eastAsia="Georgia" w:hAnsi="Georgia"/>
          <w:color w:val="14181D"/>
          <w:sz w:val="21"/>
          <w:szCs w:val="21"/>
        </w:rPr>
        <w:t xml:space="preserve">fast, correct answers — earns a recommendation to raise the difficulty with a harder exercise.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b/>
          <w:bCs/>
          <w:color w:val="14181D"/>
          <w:sz w:val="21"/>
          <w:szCs w:val="21"/>
        </w:rPr>
        <w:t xml:space="preserve">Both outputs are advisory</w:t>
      </w:r>
      <w:r>
        <w:rPr>
          <w:sz w:val="21"/>
          <w:szCs w:val="21"/>
        </w:rPr>
        <w:t xml:space="preserve">: </w:t>
      </w:r>
      <w:r>
        <w:rPr>
          <w:rFonts w:ascii="Georgia" w:cs="Georgia" w:eastAsia="Georgia" w:hAnsi="Georgia"/>
          <w:color w:val="14181D"/>
          <w:sz w:val="21"/>
          <w:szCs w:val="21"/>
        </w:rPr>
        <w:t xml:space="preserve">the platform applies, defers, or overrides them, and an educator stays in charge of the pedagogy.</w:t>
      </w:r>
    </w:p>
    <w:p>
      <w:pPr>
        <w:spacing w:before="140"/>
      </w:pPr>
    </w:p>
    <w:tbl>
      <w:tblPr>
        <w:tblW w:type="dxa" w:w="9360"/>
        <w:tblBorders>
          <w:top w:val="single" w:color="3C6C8E" w:sz="2"/>
          <w:left w:val="single" w:color="3C6C8E" w:sz="28"/>
          <w:bottom w:val="single" w:color="3C6C8E" w:sz="2"/>
          <w:right w:val="single" w:color="3C6C8E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AF0F4" w:val="clear"/>
            <w:tcMar>
              <w:top w:type="dxa" w:w="120"/>
              <w:left w:type="dxa" w:w="200"/>
              <w:bottom w:type="dxa" w:w="130"/>
              <w:right w:type="dxa" w:w="18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3C6C8E"/>
                <w:spacing w:val="30"/>
                <w:sz w:val="16"/>
                <w:szCs w:val="16"/>
              </w:rPr>
              <w:t xml:space="preserve">NOTE</w:t>
            </w:r>
          </w:p>
          <w:p>
            <w:r>
              <w:rPr>
                <w:rFonts w:ascii="Georgia" w:cs="Georgia" w:eastAsia="Georgia" w:hAnsi="Georgia"/>
                <w:color w:val="14181D"/>
                <w:sz w:val="20"/>
                <w:szCs w:val="20"/>
              </w:rPr>
              <w:t xml:space="preserve">Same model, opposite advice. The point of the demo is that the recommendation tracks the learner's state rather than applying a one-size schedule.</w:t>
            </w:r>
          </w:p>
        </w:tc>
      </w:tr>
    </w:tbl>
    <w:p>
      <w:pPr>
        <w:spacing w:after="140"/>
      </w:pPr>
    </w:p>
    <w:p>
      <w:pPr>
        <w:pBdr>
          <w:bottom w:val="single" w:color="B5562C" w:sz="22" w:space="1"/>
        </w:pBdr>
        <w:spacing w:after="30" w:before="220"/>
      </w:pPr>
      <w:r>
        <w:rPr>
          <w:sz w:val="2"/>
          <w:szCs w:val="2"/>
        </w:rPr>
        <w:t xml:space="preserve"/>
      </w:r>
    </w:p>
    <w:p>
      <w:pPr>
        <w:pStyle w:val="Heading1"/>
        <w:spacing w:after="120" w:before="40"/>
      </w:pPr>
      <w:r>
        <w:rPr>
          <w:rFonts w:ascii="Arial" w:cs="Arial" w:eastAsia="Arial" w:hAnsi="Arial"/>
          <w:b/>
          <w:bCs/>
          <w:color w:val="14181D"/>
          <w:sz w:val="34"/>
          <w:szCs w:val="34"/>
        </w:rPr>
        <w:t xml:space="preserve">The evidence</w:t>
      </w:r>
    </w:p>
    <w:p>
      <w:pPr>
        <w:spacing w:before="14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3A434C" w:sz="2"/>
          <w:insideV w:val="none"/>
        </w:tblBorders>
      </w:tblPr>
      <w:tblGrid>
        <w:gridCol w:w="5429"/>
        <w:gridCol w:w="3931"/>
      </w:tblGrid>
      <w:tr>
        <w:tc>
          <w:tcPr>
            <w:tcW w:type="dxa" w:w="9360"/>
            <w:gridSpan w:val="2"/>
            <w:shd w:fill="14181D" w:val="clear"/>
            <w:tcMar>
              <w:top w:type="dxa" w:w="110"/>
              <w:left w:type="dxa" w:w="200"/>
              <w:bottom w:type="dxa" w:w="90"/>
              <w:right w:type="dxa" w:w="18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E0A23A"/>
                <w:spacing w:val="30"/>
                <w:sz w:val="16"/>
                <w:szCs w:val="16"/>
              </w:rPr>
              <w:t xml:space="preserve">VERIFICATION EVIDENCE</w:t>
            </w:r>
          </w:p>
        </w:tc>
      </w:tr>
      <w:tr>
        <w:tc>
          <w:tcPr>
            <w:tcW w:type="dxa" w:w="5429"/>
            <w:shd w:fill="14181D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D8D1C4"/>
                <w:sz w:val="20"/>
                <w:szCs w:val="20"/>
              </w:rPr>
              <w:t xml:space="preserve">Ticks</w:t>
            </w:r>
          </w:p>
        </w:tc>
        <w:tc>
          <w:tcPr>
            <w:tcW w:type="dxa" w:w="3931"/>
            <w:shd w:fill="14181D" w:val="clear"/>
            <w:tcMar>
              <w:top w:type="dxa" w:w="80"/>
              <w:left w:type="dxa" w:w="120"/>
              <w:bottom w:type="dxa" w:w="80"/>
              <w:right w:type="dxa" w:w="180"/>
            </w:tcMar>
          </w:tcPr>
          <w:p>
            <w:pPr>
              <w:jc w:val="right"/>
            </w:pPr>
            <w:r>
              <w:rPr>
                <w:rFonts w:ascii="Georgia" w:cs="Georgia" w:eastAsia="Georgia" w:hAnsi="Georgia"/>
                <w:color w:val="FFFFFF"/>
                <w:sz w:val="19"/>
                <w:szCs w:val="19"/>
              </w:rPr>
              <w:t xml:space="preserve">100 / 100</w:t>
            </w:r>
          </w:p>
        </w:tc>
      </w:tr>
      <w:tr>
        <w:tc>
          <w:tcPr>
            <w:tcW w:type="dxa" w:w="5429"/>
            <w:shd w:fill="14181D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D8D1C4"/>
                <w:sz w:val="20"/>
                <w:szCs w:val="20"/>
              </w:rPr>
              <w:t xml:space="preserve">Struggling learner</w:t>
            </w:r>
          </w:p>
        </w:tc>
        <w:tc>
          <w:tcPr>
            <w:tcW w:type="dxa" w:w="3931"/>
            <w:shd w:fill="14181D" w:val="clear"/>
            <w:tcMar>
              <w:top w:type="dxa" w:w="80"/>
              <w:left w:type="dxa" w:w="120"/>
              <w:bottom w:type="dxa" w:w="80"/>
              <w:right w:type="dxa" w:w="180"/>
            </w:tcMar>
          </w:tcPr>
          <w:p>
            <w:pPr>
              <w:jc w:val="right"/>
            </w:pPr>
            <w:r>
              <w:rPr>
                <w:rFonts w:ascii="Georgia" w:cs="Georgia" w:eastAsia="Georgia" w:hAnsi="Georgia"/>
                <w:color w:val="FFFFFF"/>
                <w:sz w:val="19"/>
                <w:szCs w:val="19"/>
              </w:rPr>
              <w:t xml:space="preserve">RECOMMEND_HINT_AND_LOWER_DIFFICULTY</w:t>
            </w:r>
          </w:p>
        </w:tc>
      </w:tr>
      <w:tr>
        <w:tc>
          <w:tcPr>
            <w:tcW w:type="dxa" w:w="5429"/>
            <w:shd w:fill="14181D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D8D1C4"/>
                <w:sz w:val="20"/>
                <w:szCs w:val="20"/>
              </w:rPr>
              <w:t xml:space="preserve">Strong learner</w:t>
            </w:r>
          </w:p>
        </w:tc>
        <w:tc>
          <w:tcPr>
            <w:tcW w:type="dxa" w:w="3931"/>
            <w:shd w:fill="14181D" w:val="clear"/>
            <w:tcMar>
              <w:top w:type="dxa" w:w="80"/>
              <w:left w:type="dxa" w:w="120"/>
              <w:bottom w:type="dxa" w:w="80"/>
              <w:right w:type="dxa" w:w="180"/>
            </w:tcMar>
          </w:tcPr>
          <w:p>
            <w:pPr>
              <w:jc w:val="right"/>
            </w:pPr>
            <w:r>
              <w:rPr>
                <w:rFonts w:ascii="Georgia" w:cs="Georgia" w:eastAsia="Georgia" w:hAnsi="Georgia"/>
                <w:color w:val="FFFFFF"/>
                <w:sz w:val="19"/>
                <w:szCs w:val="19"/>
              </w:rPr>
              <w:t xml:space="preserve">RECOMMEND_HARDER_EXERCISE</w:t>
            </w:r>
          </w:p>
        </w:tc>
      </w:tr>
      <w:tr>
        <w:tc>
          <w:tcPr>
            <w:tcW w:type="dxa" w:w="5429"/>
            <w:shd w:fill="14181D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D8D1C4"/>
                <w:sz w:val="20"/>
                <w:szCs w:val="20"/>
              </w:rPr>
              <w:t xml:space="preserve">Imposed actions</w:t>
            </w:r>
          </w:p>
        </w:tc>
        <w:tc>
          <w:tcPr>
            <w:tcW w:type="dxa" w:w="3931"/>
            <w:shd w:fill="14181D" w:val="clear"/>
            <w:tcMar>
              <w:top w:type="dxa" w:w="80"/>
              <w:left w:type="dxa" w:w="120"/>
              <w:bottom w:type="dxa" w:w="80"/>
              <w:right w:type="dxa" w:w="180"/>
            </w:tcMar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>none</w:t>
            </w:r>
            <w:r>
              <w:rPr>
                <w:rFonts w:ascii="Georgia" w:cs="Georgia" w:eastAsia="Georgia" w:hAnsi="Georgia"/>
                <w:color w:val="FFFFFF"/>
                <w:sz w:val="19"/>
                <w:szCs w:val="19"/>
              </w:rPr>
              <w:t xml:space="preserve"> — advisory only</w:t>
            </w:r>
          </w:p>
        </w:tc>
      </w:tr>
      <w:tr>
        <w:tc>
          <w:tcPr>
            <w:tcW w:type="dxa" w:w="5429"/>
            <w:shd w:fill="14181D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D8D1C4"/>
                <w:sz w:val="20"/>
                <w:szCs w:val="20"/>
              </w:rPr>
              <w:t xml:space="preserve">Verdict</w:t>
            </w:r>
          </w:p>
        </w:tc>
        <w:tc>
          <w:tcPr>
            <w:tcW w:type="dxa" w:w="3931"/>
            <w:shd w:fill="14181D" w:val="clear"/>
            <w:tcMar>
              <w:top w:type="dxa" w:w="80"/>
              <w:left w:type="dxa" w:w="120"/>
              <w:bottom w:type="dxa" w:w="80"/>
              <w:right w:type="dxa" w:w="180"/>
            </w:tcMar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>PASS</w:t>
            </w:r>
          </w:p>
        </w:tc>
      </w:tr>
    </w:tbl>
    <w:p>
      <w:pPr>
        <w:spacing w:after="140"/>
      </w:pPr>
    </w:p>
    <w:p>
      <w:pPr>
        <w:pBdr>
          <w:bottom w:val="single" w:color="B5562C" w:sz="22" w:space="1"/>
        </w:pBdr>
        <w:spacing w:after="30" w:before="220"/>
      </w:pPr>
      <w:r>
        <w:rPr>
          <w:sz w:val="2"/>
          <w:szCs w:val="2"/>
        </w:rPr>
        <w:t xml:space="preserve"/>
      </w:r>
    </w:p>
    <w:p>
      <w:pPr>
        <w:pStyle w:val="Heading1"/>
        <w:spacing w:after="120" w:before="40"/>
      </w:pPr>
      <w:r>
        <w:rPr>
          <w:rFonts w:ascii="Arial" w:cs="Arial" w:eastAsia="Arial" w:hAnsi="Arial"/>
          <w:b/>
          <w:bCs/>
          <w:color w:val="14181D"/>
          <w:sz w:val="34"/>
          <w:szCs w:val="34"/>
        </w:rPr>
        <w:t xml:space="preserve">How to run it</w:t>
      </w:r>
    </w:p>
    <w:p>
      <w:pPr>
        <w:spacing w:after="40" w:before="14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  <w:shd w:fill="B5562C" w:val="clear"/>
        </w:rPr>
        <w:t xml:space="preserve"> 1 </w:t>
      </w:r>
      <w:r>
        <w:rPr>
          <w:sz w:val="18"/>
          <w:szCs w:val="18"/>
        </w:rPr>
        <w:t xml:space="preserve">  </w:t>
      </w:r>
      <w:r>
        <w:rPr>
          <w:rFonts w:ascii="Arial" w:cs="Arial" w:eastAsia="Arial" w:hAnsi="Arial"/>
          <w:b/>
          <w:bCs/>
          <w:color w:val="14181D"/>
          <w:sz w:val="22"/>
          <w:szCs w:val="22"/>
        </w:rPr>
        <w:t xml:space="preserve">Build</w:t>
      </w:r>
    </w:p>
    <w:p>
      <w:pPr>
        <w:spacing w:after="60" w:line="276"/>
        <w:ind w:left="360"/>
      </w:pPr>
      <w:r>
        <w:rPr>
          <w:rFonts w:ascii="Georgia" w:cs="Georgia" w:eastAsia="Georgia" w:hAnsi="Georgia"/>
          <w:color w:val="14181D"/>
          <w:sz w:val="20"/>
          <w:szCs w:val="20"/>
        </w:rPr>
        <w:t xml:space="preserve">Build the worker and the demo model JAR.</w:t>
      </w:r>
    </w:p>
    <w:tbl>
      <w:tblPr>
        <w:tblW w:type="dxa" w:w="90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00"/>
      </w:tblGrid>
      <w:tr>
        <w:tc>
          <w:tcPr>
            <w:tcW w:type="dxa" w:w="9000"/>
            <w:shd w:fill="14181D" w:val="clear"/>
            <w:tcMar>
              <w:top w:type="dxa" w:w="130"/>
              <w:left w:type="dxa" w:w="170"/>
              <w:bottom w:type="dxa" w:w="14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E8E4DA"/>
                <w:sz w:val="18"/>
                <w:szCs w:val="18"/>
              </w:rPr>
              <w:t xml:space="preserve">mvn -q -pl worker -am package</w:t>
            </w:r>
          </w:p>
        </w:tc>
      </w:tr>
    </w:tbl>
    <w:p>
      <w:pPr>
        <w:spacing w:after="40" w:before="12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  <w:shd w:fill="B5562C" w:val="clear"/>
        </w:rPr>
        <w:t xml:space="preserve"> 2 </w:t>
      </w:r>
      <w:r>
        <w:rPr>
          <w:sz w:val="18"/>
          <w:szCs w:val="18"/>
        </w:rPr>
        <w:t xml:space="preserve">  </w:t>
      </w:r>
      <w:r>
        <w:rPr>
          <w:rFonts w:ascii="Arial" w:cs="Arial" w:eastAsia="Arial" w:hAnsi="Arial"/>
          <w:b/>
          <w:bCs/>
          <w:color w:val="14181D"/>
          <w:sz w:val="22"/>
          <w:szCs w:val="22"/>
        </w:rPr>
        <w:t xml:space="preserve">Run via the framework entry point</w:t>
      </w:r>
    </w:p>
    <w:p>
      <w:pPr>
        <w:spacing w:after="60" w:line="276"/>
        <w:ind w:left="360"/>
      </w:pPr>
      <w:r>
        <w:rPr>
          <w:rFonts w:ascii="Georgia" w:cs="Georgia" w:eastAsia="Georgia" w:hAnsi="Georgia"/>
          <w:color w:val="14181D"/>
          <w:sz w:val="20"/>
          <w:szCs w:val="20"/>
        </w:rPr>
        <w:t xml:space="preserve">Entry loads the model JAR and the demo context through the real local path.</w:t>
      </w:r>
    </w:p>
    <w:tbl>
      <w:tblPr>
        <w:tblW w:type="dxa" w:w="90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00"/>
      </w:tblGrid>
      <w:tr>
        <w:tc>
          <w:tcPr>
            <w:tcW w:type="dxa" w:w="9000"/>
            <w:shd w:fill="14181D" w:val="clear"/>
            <w:tcMar>
              <w:top w:type="dxa" w:w="130"/>
              <w:left w:type="dxa" w:w="170"/>
              <w:bottom w:type="dxa" w:w="14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E8E4DA"/>
                <w:sz w:val="18"/>
                <w:szCs w:val="18"/>
              </w:rPr>
              <w:t xml:space="preserve">java -cp demo-model.jar \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E8E4DA"/>
                <w:sz w:val="18"/>
                <w:szCs w:val="18"/>
              </w:rPr>
              <w:t xml:space="preserve">  com.rakovpublic.jneuropallium.worker.application.Entry \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E8E4DA"/>
                <w:sz w:val="18"/>
                <w:szCs w:val="18"/>
              </w:rPr>
              <w:t xml:space="preserve">  local file:///path/to/demo-model.jar \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E8E4DA"/>
                <w:sz w:val="18"/>
                <w:szCs w:val="18"/>
              </w:rPr>
              <w:t xml:space="preserve">  com.rakovpublic.jneuropallium.worker.demo.fullrun.runtime.DemoJsonContext \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E8E4DA"/>
                <w:sz w:val="18"/>
                <w:szCs w:val="18"/>
              </w:rPr>
              <w:t xml:space="preserve">  context.json</w:t>
            </w:r>
          </w:p>
        </w:tc>
      </w:tr>
    </w:tbl>
    <w:p>
      <w:pPr>
        <w:spacing w:after="40" w:before="12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  <w:shd w:fill="B5562C" w:val="clear"/>
        </w:rPr>
        <w:t xml:space="preserve"> 3 </w:t>
      </w:r>
      <w:r>
        <w:rPr>
          <w:sz w:val="18"/>
          <w:szCs w:val="18"/>
        </w:rPr>
        <w:t xml:space="preserve">  </w:t>
      </w:r>
      <w:r>
        <w:rPr>
          <w:rFonts w:ascii="Arial" w:cs="Arial" w:eastAsia="Arial" w:hAnsi="Arial"/>
          <w:b/>
          <w:bCs/>
          <w:color w:val="14181D"/>
          <w:sz w:val="22"/>
          <w:szCs w:val="22"/>
        </w:rPr>
        <w:t xml:space="preserve">Inspect</w:t>
      </w:r>
    </w:p>
    <w:p>
      <w:pPr>
        <w:spacing w:after="60" w:line="276"/>
        <w:ind w:left="360"/>
      </w:pPr>
      <w:r>
        <w:rPr>
          <w:rFonts w:ascii="Georgia" w:cs="Georgia" w:eastAsia="Georgia" w:hAnsi="Georgia"/>
          <w:color w:val="14181D"/>
          <w:sz w:val="20"/>
          <w:szCs w:val="20"/>
        </w:rPr>
        <w:t xml:space="preserve">Read the tutor advisories for both learners.</w:t>
      </w:r>
    </w:p>
    <w:tbl>
      <w:tblPr>
        <w:tblW w:type="dxa" w:w="90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00"/>
      </w:tblGrid>
      <w:tr>
        <w:tc>
          <w:tcPr>
            <w:tcW w:type="dxa" w:w="9000"/>
            <w:shd w:fill="14181D" w:val="clear"/>
            <w:tcMar>
              <w:top w:type="dxa" w:w="130"/>
              <w:left w:type="dxa" w:w="170"/>
              <w:bottom w:type="dxa" w:w="14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E8E4DA"/>
                <w:sz w:val="18"/>
                <w:szCs w:val="18"/>
              </w:rPr>
              <w:t xml:space="preserve">ls target/jneopallium-fullrun-demos/demo-08-tutoring/</w:t>
            </w:r>
          </w:p>
        </w:tc>
      </w:tr>
    </w:tbl>
    <w:p>
      <w:pPr>
        <w:spacing w:after="120"/>
      </w:pPr>
    </w:p>
    <w:p>
      <w:pPr>
        <w:pBdr>
          <w:bottom w:val="single" w:color="B5562C" w:sz="22" w:space="1"/>
        </w:pBdr>
        <w:spacing w:after="30" w:before="220"/>
      </w:pPr>
      <w:r>
        <w:rPr>
          <w:sz w:val="2"/>
          <w:szCs w:val="2"/>
        </w:rPr>
        <w:t xml:space="preserve"/>
      </w:r>
    </w:p>
    <w:p>
      <w:pPr>
        <w:pStyle w:val="Heading1"/>
        <w:spacing w:after="120" w:before="40"/>
      </w:pPr>
      <w:r>
        <w:rPr>
          <w:rFonts w:ascii="Arial" w:cs="Arial" w:eastAsia="Arial" w:hAnsi="Arial"/>
          <w:b/>
          <w:bCs/>
          <w:color w:val="14181D"/>
          <w:sz w:val="34"/>
          <w:szCs w:val="34"/>
        </w:rPr>
        <w:t xml:space="preserve">Why ADVISORY</w:t>
      </w:r>
    </w:p>
    <w:p>
      <w:pPr>
        <w:spacing w:after="160" w:line="288"/>
        <w:jc w:val="left"/>
      </w:pPr>
      <w:r>
        <w:rPr>
          <w:rFonts w:ascii="Georgia" w:cs="Georgia" w:eastAsia="Georgia" w:hAnsi="Georgia"/>
          <w:color w:val="14181D"/>
          <w:sz w:val="21"/>
          <w:szCs w:val="21"/>
        </w:rPr>
        <w:t xml:space="preserve">Pedagogy is a human responsibility and learners are not optimisation targets; a system that silently re-sequences a curriculum has overstepped. The advisory ceiling keeps the educator and platform in control of what actually happens. To run it in a live course you replace the mock event edge with a real LTI/xAPI source while preserving the typed signal contract and the advisory ceiling — the recommendation arrives the same way, and a human still decides how to teach.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rFonts w:ascii="Consolas" w:cs="Consolas" w:eastAsia="Consolas" w:hAnsi="Consolas"/>
        <w:color w:val="6F665A"/>
        <w:sz w:val="14"/>
        <w:szCs w:val="14"/>
      </w:rPr>
      <w:t xml:space="preserve">github.com/rakovpublic/jneopallium</w:t>
    </w:r>
    <w:r>
      <w:rPr>
        <w:rFonts w:ascii="Consolas" w:cs="Consolas" w:eastAsia="Consolas" w:hAnsi="Consolas"/>
        <w:color w:val="6F665A"/>
        <w:sz w:val="14"/>
        <w:szCs w:val="14"/>
      </w:rPr>
      <w:t xml:space="preserve">	Page </w:t>
    </w:r>
    <w:r>
      <w:rPr>
        <w:rFonts w:ascii="Consolas" w:cs="Consolas" w:eastAsia="Consolas" w:hAnsi="Consolas"/>
        <w:color w:val="14181D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AD3C4" w:sz="4" w:space="6"/>
      </w:pBdr>
      <w:tabs>
        <w:tab w:val="right" w:pos="9360"/>
      </w:tabs>
    </w:pPr>
    <w:r>
      <w:rPr>
        <w:rFonts w:ascii="Consolas" w:cs="Consolas" w:eastAsia="Consolas" w:hAnsi="Consolas"/>
        <w:color w:val="6F665A"/>
        <w:spacing w:val="20"/>
        <w:sz w:val="14"/>
        <w:szCs w:val="14"/>
      </w:rPr>
      <w:t xml:space="preserve">Demo 08 · Adaptive Tutoring</w:t>
    </w:r>
    <w:r>
      <w:rPr>
        <w:rFonts w:ascii="Consolas" w:cs="Consolas" w:eastAsia="Consolas" w:hAnsi="Consolas"/>
        <w:color w:val="9A9183"/>
        <w:sz w:val="14"/>
        <w:szCs w:val="14"/>
      </w:rPr>
      <w:t xml:space="preserve">	A Tutor That Reads the Room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60" w:hanging="280"/>
      </w:pPr>
      <w:rPr>
        <w:color w:val="B5562C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  <w:rPr>
        <w:rFonts w:ascii="Consolas" w:cs="Consolas" w:eastAsia="Consolas" w:hAnsi="Consolas"/>
        <w:b/>
        <w:bCs/>
        <w:color w:val="B5562C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14181D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4181D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70" w:before="200"/>
      <w:outlineLvl w:val="1"/>
    </w:pPr>
    <w:rPr>
      <w:rFonts w:ascii="Arial" w:cs="Arial" w:eastAsia="Arial" w:hAnsi="Arial"/>
      <w:b/>
      <w:bCs/>
      <w:color w:val="232A3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753bf4a4623aa324dcaadf577f712e4f964698bb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2026-06-07T15:44:49.757Z</dcterms:created>
  <dcterms:modified xsi:type="dcterms:W3CDTF">2026-06-07T15:44:49.757Z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