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onsolas" w:cs="Consolas" w:eastAsia="Consolas" w:hAnsi="Consolas"/>
          <w:b/>
          <w:bCs/>
          <w:color w:val="B5562C"/>
          <w:spacing w:val="50"/>
          <w:sz w:val="18"/>
          <w:szCs w:val="18"/>
        </w:rPr>
        <w:t xml:space="preserve">ДЕМО 09 · НЕЙРОННА СУМІСНІСТЬ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4181D"/>
          <w:sz w:val="56"/>
          <w:szCs w:val="56"/>
        </w:rPr>
        <w:t xml:space="preserve">Міст між нейронними інструментами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spacing w:after="120" w:before="120"/>
      </w:pPr>
      <w:r>
        <w:rPr>
          <w:rFonts w:ascii="Georgia" w:cs="Georgia" w:eastAsia="Georgia" w:hAnsi="Georgia"/>
          <w:i/>
          <w:iCs/>
          <w:color w:val="39424B"/>
          <w:sz w:val="26"/>
          <w:szCs w:val="26"/>
        </w:rPr>
        <w:t xml:space="preserve">Демо сумісності «вектор на вході — вектор на виході», що читає потік у стилі Nengo, перетворює його й видає вихідний вектор із впевненістю — доводячи, що Jneopallium може стояти між нейронними системами.</w:t>
      </w:r>
    </w:p>
    <w:p>
      <w:pPr>
        <w:spacing w:after="60" w:before="60"/>
      </w:pPr>
      <w:r>
        <w:rPr>
          <w:rFonts w:ascii="Arial" w:cs="Arial" w:eastAsia="Arial" w:hAnsi="Arial"/>
          <w:color w:val="B98724"/>
          <w:sz w:val="20"/>
          <w:szCs w:val="20"/>
        </w:rPr>
        <w:t xml:space="preserve">▌</w:t>
      </w:r>
      <w:r>
        <w:rPr>
          <w:rFonts w:ascii="Consolas" w:cs="Consolas" w:eastAsia="Consolas" w:hAnsi="Consolas"/>
          <w:b/>
          <w:bCs/>
          <w:color w:val="B98724"/>
          <w:sz w:val="17"/>
          <w:szCs w:val="17"/>
          <w:shd w:fill="EFEADF" w:val="clear"/>
        </w:rPr>
        <w:t xml:space="preserve"> ADVISORY </w:t>
      </w:r>
      <w:r>
        <w:rPr>
          <w:rFonts w:ascii="Georgia" w:cs="Georgia" w:eastAsia="Georgia" w:hAnsi="Georgia"/>
          <w:i/>
          <w:iCs/>
          <w:color w:val="6F665A"/>
          <w:sz w:val="17"/>
          <w:szCs w:val="17"/>
        </w:rPr>
        <w:t xml:space="preserve">  Лише рекомендації — без автономного запису</w:t>
      </w:r>
    </w:p>
    <w:p>
      <w:pPr>
        <w:pBdr>
          <w:top w:val="single" w:color="DAD3C4" w:sz="4" w:space="6"/>
        </w:pBdr>
        <w:spacing w:after="40" w:before="200"/>
      </w:pPr>
    </w:p>
    <w:p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АВТОР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Раковський Дмитро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ВЕРСІЯ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Демо повного прогону 09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ДАТА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2026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РЕПОЗИТОРІЙ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github.com/rakovpublic/jneopallium</w:t>
      </w:r>
    </w:p>
    <w:p>
      <w:pPr>
        <w:spacing w:after="60" w:before="260"/>
      </w:pPr>
      <w:r>
        <w:rPr>
          <w:rFonts w:ascii="Georgia" w:cs="Georgia" w:eastAsia="Georgia" w:hAnsi="Georgia"/>
          <w:color w:val="14181D"/>
          <w:sz w:val="25"/>
          <w:szCs w:val="25"/>
        </w:rPr>
        <w:t xml:space="preserve">Реальні нейроморфні й симуляційні стеки рідко живуть наодинці — їм потрібне щось, що прочитає їхній вихід, поміркує про нього й передасть результат наступному етапу. Ця демонстрація відводить Jneopallium цю роль. Вона споживає детермінований потік векторів у формі, яку дала б модель Nengo, проганяє його крізь невелику мережу «перетвори-й-виріши» й видає вихідний вектор із явною впевненістю. Для запуску не потрібні ні Python, ні встановлений Nengo.</w:t>
      </w:r>
    </w:p>
    <w:p>
      <w:pPr>
        <w:pBdr>
          <w:bottom w:val="single" w:color="DAD3C4" w:sz="4" w:space="10"/>
        </w:pBdr>
        <w:spacing w:after="8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Що це таке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Демо 09 моделює сумісність із нейронним інструментом у стилі Nengo. Його межа безпеки —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ADVISORY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: воно видає вихідний вектор і впевненість як рекомендацію системі нижче за течією, а не дію керування. Мережа має чотири шари (розмір 3·3·2·2) — достатньо, щоб виокремити часові ознаки й дати класифікований чи керувальний рекомендаційний вихід.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Як це влаштовано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2628900"/>
            <wp:effectExtent t="0" r="0" b="0" l="0"/>
            <wp:docPr id="1" name="diagram" descr="Чотири шари. Шар перетворення згладжує потік векторів, перш ніж шар рішення дасть рекомендаційний вихід.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nsolas" w:cs="Consolas" w:eastAsia="Consolas" w:hAnsi="Consolas"/>
          <w:color w:val="B5562C"/>
          <w:sz w:val="15"/>
          <w:szCs w:val="15"/>
        </w:rPr>
        <w:t xml:space="preserve">Рис.  </w:t>
      </w:r>
      <w:r>
        <w:rPr>
          <w:rFonts w:ascii="Georgia" w:cs="Georgia" w:eastAsia="Georgia" w:hAnsi="Georgia"/>
          <w:i/>
          <w:iCs/>
          <w:color w:val="6F665A"/>
          <w:sz w:val="18"/>
          <w:szCs w:val="18"/>
        </w:rPr>
        <w:t xml:space="preserve">Чотири шари. Шар перетворення згладжує потік векторів, перш ніж шар рішення дасть рекомендаційний вихід.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Сигнали типізовані: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NengoVectorSignal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вхідні канали й мітку часу,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TemporalFeatureSignal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згладжені ознаки, а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NengoOutputSignal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вихідний вектор і його впевненість.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Що воно робить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Воно читає детермінований двоканальний потік векторів — макетне джерело синус/косинус, що заміняє реальну модель Nengo.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Воно виокремлює часові ознаки й згладжує їх, а тоді дає вихідний вектор для кожного вхідного кадру.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Кожен вихід несе значення впевненості, тож споживач нижче за течією знає, наскільки довіряти кожному кадру.</w:t>
      </w:r>
    </w:p>
    <w:p>
      <w:pPr>
        <w:spacing w:before="140"/>
      </w:pPr>
    </w:p>
    <w:tbl>
      <w:tblPr>
        <w:tblW w:type="dxa" w:w="9360"/>
        <w:tblBorders>
          <w:top w:val="single" w:color="3C6C8E" w:sz="2"/>
          <w:left w:val="single" w:color="3C6C8E" w:sz="28"/>
          <w:bottom w:val="single" w:color="3C6C8E" w:sz="2"/>
          <w:right w:val="single" w:color="3C6C8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4" w:val="clear"/>
            <w:tcMar>
              <w:top w:type="dxa" w:w="120"/>
              <w:left w:type="dxa" w:w="200"/>
              <w:bottom w:type="dxa" w:w="13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C6C8E"/>
                <w:spacing w:val="30"/>
                <w:sz w:val="16"/>
                <w:szCs w:val="16"/>
              </w:rPr>
              <w:t xml:space="preserve">ПРИМІТКА</w:t>
            </w:r>
          </w:p>
          <w:p>
            <w:r>
              <w:rPr>
                <w:rFonts w:ascii="Georgia" w:cs="Georgia" w:eastAsia="Georgia" w:hAnsi="Georgia"/>
                <w:color w:val="14181D"/>
                <w:sz w:val="20"/>
                <w:szCs w:val="20"/>
              </w:rPr>
              <w:t xml:space="preserve">Макетне джерело і є суть: демонстрація доводить контракт сумісності — вектори на вході, вектори-з-впевненістю на виході — не вимагаючи встановленого середовища Python Nengo.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Докази</w:t>
      </w:r>
    </w:p>
    <w:p>
      <w:pPr>
        <w:spacing w:before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3A434C" w:sz="2"/>
          <w:insideV w:val="none"/>
        </w:tblBorders>
      </w:tblPr>
      <w:tblGrid>
        <w:gridCol w:w="5429"/>
        <w:gridCol w:w="3931"/>
      </w:tblGrid>
      <w:tr>
        <w:tc>
          <w:tcPr>
            <w:tcW w:type="dxa" w:w="9360"/>
            <w:gridSpan w:val="2"/>
            <w:shd w:fill="14181D" w:val="clear"/>
            <w:tcMar>
              <w:top w:type="dxa" w:w="110"/>
              <w:left w:type="dxa" w:w="20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0A23A"/>
                <w:spacing w:val="30"/>
                <w:sz w:val="16"/>
                <w:szCs w:val="16"/>
              </w:rPr>
              <w:t xml:space="preserve">ДОКАЗИ ВЕРИФІКАЦІЇ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Вхідні кадри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детермінований двоканальний потік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Вихідні рядки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75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 вихідних векторів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Впевненість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видається на вихід (&gt; 0)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Режим виходу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ADVISORY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Вердикт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Як це запустити</w:t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1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Зберіть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Зберіть воркер і JAR моделі демонстрації.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mvn -q -pl worker -am package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2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Запустіть через точку входу фреймворку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Entry завантажує JAR моделі й контекст через реальний локальний шлях.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java -cp 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com.rakovpublic.jneuropallium.worker.application.Entry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local file:///path/to/demo-model.jar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context.json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3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Перевірте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Прочитайте вихідні вектори та їхні впевненості.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ls target/jneopallium-fullrun-demos/demo-09-nengo-interop/</w:t>
            </w:r>
          </w:p>
        </w:tc>
      </w:tr>
    </w:tbl>
    <w:p>
      <w:pPr>
        <w:spacing w:after="12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Чому ADVISORY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Міст сумісності має інформувати наступний етап, а не захоплювати його; система, що приймає, володіє тим, що стається далі. Рекомендаційна межа тримає Jneopallium добре поведеним проміжним етапом. Щоб під'єднати реальний інструмент, ви замінюєте макетне джерело векторів живим потоком процесу Nengo, зберігаючи типізований контракт сигналів і рекомендаційну межу — вихідний вектор і впевненість надходять так само, а система нижче за течією вирішує, що з ними робити.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onsolas" w:cs="Consolas" w:eastAsia="Consolas" w:hAnsi="Consolas"/>
        <w:color w:val="6F665A"/>
        <w:sz w:val="14"/>
        <w:szCs w:val="14"/>
      </w:rPr>
      <w:t xml:space="preserve">github.com/rakovpublic/jneopallium</w:t>
    </w:r>
    <w:r>
      <w:rPr>
        <w:rFonts w:ascii="Consolas" w:cs="Consolas" w:eastAsia="Consolas" w:hAnsi="Consolas"/>
        <w:color w:val="6F665A"/>
        <w:sz w:val="14"/>
        <w:szCs w:val="14"/>
      </w:rPr>
      <w:t xml:space="preserve">	Сторінка </w:t>
    </w:r>
    <w:r>
      <w:rPr>
        <w:rFonts w:ascii="Consolas" w:cs="Consolas" w:eastAsia="Consolas" w:hAnsi="Consolas"/>
        <w:color w:val="14181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3C4" w:sz="4" w:space="6"/>
      </w:pBdr>
      <w:tabs>
        <w:tab w:val="right" w:pos="9360"/>
      </w:tabs>
    </w:pPr>
    <w:r>
      <w:rPr>
        <w:rFonts w:ascii="Consolas" w:cs="Consolas" w:eastAsia="Consolas" w:hAnsi="Consolas"/>
        <w:color w:val="6F665A"/>
        <w:spacing w:val="20"/>
        <w:sz w:val="14"/>
        <w:szCs w:val="14"/>
      </w:rPr>
      <w:t xml:space="preserve">Демо 09 · Нейронна сумісність</w:t>
    </w:r>
    <w:r>
      <w:rPr>
        <w:rFonts w:ascii="Consolas" w:cs="Consolas" w:eastAsia="Consolas" w:hAnsi="Consolas"/>
        <w:color w:val="9A9183"/>
        <w:sz w:val="14"/>
        <w:szCs w:val="14"/>
      </w:rPr>
      <w:t xml:space="preserve">	Міст між нейронними інструментами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80"/>
      </w:pPr>
      <w:rPr>
        <w:color w:val="B5562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onsolas" w:cs="Consolas" w:eastAsia="Consolas" w:hAnsi="Consolas"/>
        <w:b/>
        <w:bCs/>
        <w:color w:val="B556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4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4181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Arial" w:cs="Arial" w:eastAsia="Arial" w:hAnsi="Arial"/>
      <w:b/>
      <w:bCs/>
      <w:color w:val="232A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3faac72ceb4c59f48635da3e7c40eae88521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2026-06-07T15:44:51.673Z</dcterms:created>
  <dcterms:modified xsi:type="dcterms:W3CDTF">2026-06-07T15:44:51.673Z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