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02 · PREDICTIVE MAINTENANCE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84"/>
                <w:szCs w:val="84"/>
              </w:rPr>
              <w:t xml:space="preserve">See the Failure
Before It Bills You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A ten-pump fleet monitor that flags the one asset that's actually degrading.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B98724"/>
                <w:sz w:val="18"/>
                <w:szCs w:val="18"/>
                <w:shd w:fill="1C2229" w:val="clear"/>
              </w:rPr>
              <w:t xml:space="preserve"> ADVISORY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github.com/rakovpublic/jneopallium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PROBLEM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You're either over-maintaining or getting surprised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Fixed-calendar maintenance burns budget on machines that are perfectly fine.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Run-to-failure trades that budget for unplanned downtime — the expensive kind.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10" w:line="268"/>
            </w:pPr>
            <w:r>
              <w:rPr>
                <w:rFonts w:ascii="Arial" w:cs="Arial" w:eastAsia="Arial" w:hAnsi="Arial"/>
                <w:color w:val="E3DDD0"/>
                <w:sz w:val="23"/>
                <w:szCs w:val="23"/>
              </w:rPr>
              <w:t xml:space="preserve">Alarm-on-everything monitoring just moves the noise around.</w:t>
            </w:r>
          </w:p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The win isn't more alerts. It's the right alert on the right asset.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SOLUTION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Per-asset health, one targeted advisory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estimates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vibration and bearing-temp trends become a degradation score and a remaining-useful-life projection.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targets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only the degrading pump earns an advisory; healthy pumps stay quiet.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It explains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every advisory carries an audit reason.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03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HOW IT WORKS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Telemetry in, targeted advisory out</w:t>
            </w:r>
          </w:p>
          <w:p>
            <w:pPr>
              <w:spacing w:before="40"/>
              <w:jc w:val="center"/>
            </w:pPr>
            <w:r>
              <w:drawing>
                <wp:inline distT="0" distB="0" distL="0" distR="0">
                  <wp:extent cx="5334000" cy="4114800"/>
                  <wp:effectExtent t="0" r="0" b="0" l="0"/>
                  <wp:docPr id="1" name="d" descr="Health estimation drives a priority-scored maintenance window." title="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9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9A9183"/>
                <w:sz w:val="18"/>
                <w:szCs w:val="18"/>
              </w:rPr>
              <w:t xml:space="preserve">Health estimation drives a priority-scored maintenance window.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04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PROOF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It separates the sick from the healthy</w:t>
            </w:r>
          </w:p>
          <w:tbl>
            <w:tblPr>
              <w:tblW w:type="dxa" w:w="13401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4307"/>
              <w:gridCol w:w="240"/>
              <w:gridCol w:w="4307"/>
              <w:gridCol w:w="240"/>
              <w:gridCol w:w="4307"/>
            </w:tblGrid>
            <w:tr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RUL 40</w:t>
                  </w:r>
                </w:p>
                <w:p>
                  <w:pPr>
                    <w:spacing w:after="6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degrading pump-03 — advisory raised</w:t>
                  </w:r>
                </w:p>
                <w:p>
                  <w:r>
                    <w:rPr>
                      <w:rFonts w:ascii="Consolas" w:cs="Consolas" w:eastAsia="Consolas" w:hAnsi="Consolas"/>
                      <w:color w:val="E0A23A"/>
                      <w:sz w:val="15"/>
                      <w:szCs w:val="15"/>
                    </w:rPr>
                    <w:t xml:space="preserve">vs RUL 950 healthy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0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advisories for the healthy pump, same window</w:t>
                  </w:r>
                </w:p>
              </w:tc>
              <w:tc>
                <w:tcPr>
                  <w:tcW w:type="dxa" w:w="24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/>
              </w:tc>
              <w:tc>
                <w:tcPr>
                  <w:tcW w:type="dxa" w:w="4307"/>
                  <w:tcBorders>
                    <w:top w:val="single" w:color="B5562C" w:sz="24"/>
                    <w:left w:val="single" w:color="2A333C" w:sz="4"/>
                    <w:bottom w:val="single" w:color="2A333C" w:sz="4"/>
                    <w:right w:val="single" w:color="2A333C" w:sz="4"/>
                  </w:tcBorders>
                  <w:shd w:fill="171E25" w:val="clear"/>
                  <w:tcMar>
                    <w:top w:type="dxa" w:w="220"/>
                    <w:left w:type="dxa" w:w="200"/>
                    <w:bottom w:type="dxa" w:w="200"/>
                    <w:right w:type="dxa" w:w="16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1000</w:t>
                  </w:r>
                </w:p>
                <w:p>
                  <w:pPr>
                    <w:spacing w:after="0" w:line="240"/>
                  </w:pPr>
                  <w:r>
                    <w:rPr>
                      <w:rFonts w:ascii="Arial" w:cs="Arial" w:eastAsia="Arial" w:hAnsi="Arial"/>
                      <w:color w:val="D6CFC2"/>
                      <w:sz w:val="19"/>
                      <w:szCs w:val="19"/>
                    </w:rPr>
                    <w:t xml:space="preserve">deterministic ticks across 10 pumps</w:t>
                  </w:r>
                </w:p>
              </w:tc>
            </w:tr>
          </w:tbl>
          <w:p>
            <w:pPr>
              <w:pBdr>
                <w:left w:val="single" w:color="B5562C" w:sz="18" w:space="8"/>
              </w:pBdr>
              <w:spacing w:before="200"/>
              <w:ind w:left="120"/>
            </w:pPr>
            <w:r>
              <w:rPr>
                <w:rFonts w:ascii="Consolas" w:cs="Consolas" w:eastAsia="Consolas" w:hAnsi="Consolas"/>
                <w:color w:val="E0A23A"/>
                <w:sz w:val="17"/>
                <w:szCs w:val="17"/>
              </w:rPr>
              <w:t xml:space="preserve">An offline pump (pump-07 after t8) raises a device-offline advisory — not silence.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05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THE CEILING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Advisory by design</w:t>
            </w:r>
          </w:p>
          <w:tbl>
            <w:tblPr>
              <w:tblW w:type="dxa" w:w="13400"/>
              <w:tblBorders>
                <w:top w:val="single" w:color="2A333C" w:sz="4"/>
                <w:left w:val="single" w:color="B98724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B98724"/>
                      <w:sz w:val="19"/>
                      <w:szCs w:val="19"/>
                    </w:rPr>
                    <w:t xml:space="preserve">ADVISORY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It recommends; a planner decides. No autonomous write to any asset.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Targeted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Flags the degrading asset, not the whole fleet.</w:t>
                  </w:r>
                </w:p>
              </w:tc>
            </w:tr>
          </w:tbl>
          <w:p>
            <w:pPr>
              <w:spacing w:after="100"/>
            </w:pPr>
          </w:p>
          <w:tbl>
            <w:tblPr>
              <w:tblW w:type="dxa" w:w="13400"/>
              <w:tblBorders>
                <w:top w:val="single" w:color="2A333C" w:sz="4"/>
                <w:left w:val="single" w:color="6F665A" w:sz="28"/>
                <w:bottom w:val="single" w:color="2A333C" w:sz="4"/>
                <w:right w:val="single" w:color="2A333C" w:sz="4"/>
                <w:insideH w:val="single" w:color="auto" w:sz="4"/>
                <w:insideV w:val="single" w:color="auto" w:sz="4"/>
              </w:tblBorders>
            </w:tblPr>
            <w:tblGrid>
              <w:gridCol w:w="13400"/>
            </w:tblGrid>
            <w:tr>
              <w:tc>
                <w:tcPr>
                  <w:tcW w:type="dxa" w:w="13400"/>
                  <w:shd w:fill="171E25" w:val="clear"/>
                  <w:tcMar>
                    <w:top w:type="dxa" w:w="130"/>
                    <w:left w:type="dxa" w:w="240"/>
                    <w:bottom w:type="dxa" w:w="130"/>
                    <w:right w:type="dxa" w:w="200"/>
                  </w:tcMar>
                </w:tcPr>
                <w:p>
                  <w:r>
                    <w:rPr>
                      <w:rFonts w:ascii="Consolas" w:cs="Consolas" w:eastAsia="Consolas" w:hAnsi="Consolas"/>
                      <w:b/>
                      <w:bCs/>
                      <w:color w:val="6F665A"/>
                      <w:sz w:val="19"/>
                      <w:szCs w:val="19"/>
                    </w:rPr>
                    <w:t xml:space="preserve">Auditable   </w:t>
                  </w:r>
                  <w:r>
                    <w:rPr>
                      <w:rFonts w:ascii="Georgia" w:cs="Georgia" w:eastAsia="Georgia" w:hAnsi="Georgia"/>
                      <w:color w:val="D6CFC2"/>
                      <w:sz w:val="20"/>
                      <w:szCs w:val="20"/>
                    </w:rPr>
                    <w:t xml:space="preserve">Every recommendation carries its reason.</w:t>
                  </w:r>
                </w:p>
              </w:tc>
            </w:tr>
          </w:tbl>
          <w:p>
            <w:pPr>
              <w:spacing w:after="100"/>
            </w:pP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06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top"/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E0A23A"/>
                <w:sz w:val="18"/>
                <w:szCs w:val="18"/>
              </w:rPr>
              <w:t xml:space="preserve">—  </w:t>
            </w: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GOING LIVE</w:t>
            </w:r>
          </w:p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Plug into the fleet you already have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Swap the input edge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the mock telemetry becomes a live MQTT / Sparkplug feed.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Keep the contract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same typed signals, same advisory ceiling.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Keep the human</w:t>
            </w:r>
          </w:p>
          <w:p>
            <w:pPr>
              <w:spacing w:after="130" w:line="264"/>
              <w:ind w:left="360"/>
            </w:pPr>
            <w:r>
              <w:rPr>
                <w:rFonts w:ascii="Georgia" w:cs="Georgia" w:eastAsia="Georgia" w:hAnsi="Georgia"/>
                <w:color w:val="B2AA9C"/>
                <w:sz w:val="21"/>
                <w:szCs w:val="21"/>
              </w:rPr>
              <w:t xml:space="preserve">the planner still owns the schedule.</w:t>
            </w:r>
          </w:p>
          <w:p>
            <w:pPr>
              <w:tabs>
                <w:tab w:val="right" w:pos="13400"/>
              </w:tabs>
              <w:spacing w:before="160"/>
            </w:pPr>
            <w:r>
              <w:rPr>
                <w:rFonts w:ascii="Consolas" w:cs="Consolas" w:eastAsia="Consolas" w:hAnsi="Consolas"/>
                <w:color w:val="6F7884"/>
                <w:spacing w:val="20"/>
                <w:sz w:val="13"/>
                <w:szCs w:val="13"/>
              </w:rPr>
              <w:t xml:space="preserve">GITHUB.COM/RAKOVPUBLIC/JNEOPALLIUM</w:t>
            </w:r>
            <w:r>
              <w:rPr>
                <w:rFonts w:ascii="Consolas" w:cs="Consolas" w:eastAsia="Consolas" w:hAnsi="Consolas"/>
                <w:color w:val="8A8275"/>
                <w:sz w:val="13"/>
                <w:szCs w:val="13"/>
              </w:rPr>
              <w:t xml:space="preserve">	07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0151b" w:sz="4"/>
              <w:left w:val="single" w:color="10151b" w:sz="4"/>
              <w:bottom w:val="single" w:color="10151b" w:sz="4"/>
              <w:right w:val="single" w:color="10151b" w:sz="4"/>
            </w:tcBorders>
            <w:shd w:fill="10151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B5562C"/>
                <w:sz w:val="110"/>
                <w:szCs w:val="110"/>
              </w:rPr>
              <w:t xml:space="preserve">“</w:t>
            </w:r>
          </w:p>
          <w:p>
            <w:pPr>
              <w:spacing w:before="0"/>
            </w:pPr>
            <w:r>
              <w:rPr>
                <w:rFonts w:ascii="Georgia" w:cs="Georgia" w:eastAsia="Georgia" w:hAnsi="Georgia"/>
                <w:color w:val="F2EFE7"/>
                <w:sz w:val="44"/>
                <w:szCs w:val="44"/>
              </w:rPr>
              <w:t xml:space="preserve">Predictive maintenance pays off when it's quiet about the healthy machines and precise about the failing one.</w:t>
            </w:r>
          </w:p>
          <w:p>
            <w:pPr>
              <w:spacing w:before="320"/>
            </w:pPr>
            <w:r>
              <w:rPr>
                <w:rFonts w:ascii="Consolas" w:cs="Consolas" w:eastAsia="Consolas" w:hAnsi="Consolas"/>
                <w:color w:val="E0A23A"/>
                <w:spacing w:val="20"/>
                <w:sz w:val="18"/>
                <w:szCs w:val="18"/>
              </w:rPr>
              <w:t xml:space="preserve">The case for Demo 02</w:t>
            </w:r>
          </w:p>
        </w:tc>
      </w:tr>
    </w:tbl>
    <w:p>
      <w:pPr>
        <w:pageBreakBefore/>
        <w:spacing w:after="0"/>
      </w:pPr>
      <w:r>
        <w:rPr>
          <w:sz w:val="2"/>
          <w:szCs w:val="2"/>
        </w:rPr>
        <w:t xml:space="preserve"/>
      </w:r>
    </w:p>
    <w:tbl>
      <w:tblPr>
        <w:tblW w:type="dxa" w:w="146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640"/>
      </w:tblGrid>
      <w:tr>
        <w:trPr>
          <w:trHeight w:val="10560" w:hRule="atLeast"/>
        </w:trPr>
        <w:tc>
          <w:tcPr>
            <w:tcW w:type="dxa" w:w="14640"/>
            <w:tcBorders>
              <w:top w:val="single" w:color="17110B" w:sz="4"/>
              <w:left w:val="single" w:color="17110B" w:sz="4"/>
              <w:bottom w:val="single" w:color="17110B" w:sz="4"/>
              <w:right w:val="single" w:color="17110B" w:sz="4"/>
            </w:tcBorders>
            <w:shd w:fill="17110B" w:val="clear"/>
            <w:tcMar>
              <w:top w:type="dxa" w:w="520"/>
              <w:left w:type="dxa" w:w="620"/>
              <w:bottom w:type="dxa" w:w="360"/>
              <w:right w:type="dxa" w:w="560"/>
            </w:tcMar>
            <w:vAlign w:val="center"/>
          </w:tcPr>
          <w:p>
            <w:pPr>
              <w:tabs>
                <w:tab w:val="right" w:pos="13400"/>
              </w:tabs>
              <w:spacing w:after="700"/>
            </w:pPr>
            <w:r>
              <w:rPr>
                <w:rFonts w:ascii="Consolas" w:cs="Consolas" w:eastAsia="Consolas" w:hAnsi="Consolas"/>
                <w:b/>
                <w:bCs/>
                <w:color w:val="E0A23A"/>
                <w:spacing w:val="40"/>
                <w:sz w:val="16"/>
                <w:szCs w:val="16"/>
              </w:rPr>
              <w:t xml:space="preserve">JNEOPALLIUM · DEMO 02</w:t>
            </w: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	rakovpublic/jneopallium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76"/>
                <w:szCs w:val="76"/>
              </w:rPr>
              <w:t xml:space="preserve">Catch it before it costs you.</w:t>
            </w:r>
          </w:p>
          <w:p>
            <w:pPr>
              <w:spacing w:before="200"/>
            </w:pPr>
            <w:r>
              <w:rPr>
                <w:rFonts w:ascii="Georgia" w:cs="Georgia" w:eastAsia="Georgia" w:hAnsi="Georgia"/>
                <w:i/>
                <w:iCs/>
                <w:color w:val="C4BCAE"/>
                <w:sz w:val="30"/>
                <w:szCs w:val="30"/>
              </w:rPr>
              <w:t xml:space="preserve">Per-asset remaining-useful-life and a targeted maintenance advisory.</w:t>
            </w:r>
          </w:p>
          <w:p>
            <w:pPr>
              <w:spacing w:before="360"/>
            </w:pPr>
            <w:r>
              <w:rPr>
                <w:rFonts w:ascii="Consolas" w:cs="Consolas" w:eastAsia="Consolas" w:hAnsi="Consolas"/>
                <w:b/>
                <w:bCs/>
                <w:color w:val="14181D"/>
                <w:sz w:val="18"/>
                <w:szCs w:val="18"/>
                <w:shd w:fill="E0A23A" w:val="clear"/>
              </w:rPr>
              <w:t xml:space="preserve"> github.com/rakovpublic/jneopallium </w:t>
            </w:r>
          </w:p>
          <w:p>
            <w:pPr>
              <w:spacing w:before="700"/>
            </w:pPr>
            <w:r>
              <w:rPr>
                <w:rFonts w:ascii="Consolas" w:cs="Consolas" w:eastAsia="Consolas" w:hAnsi="Consolas"/>
                <w:color w:val="6F7884"/>
                <w:sz w:val="14"/>
                <w:szCs w:val="14"/>
              </w:rPr>
              <w:t xml:space="preserve">ADVISORY · deterministic</w:t>
            </w:r>
          </w:p>
        </w:tc>
      </w:tr>
    </w:tbl>
    <w:sectPr>
      <w:pgSz w:w="15840" w:h="12240" w:orient="landscape"/>
      <w:pgMar w:top="504" w:right="504" w:bottom="360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300"/>
      </w:pPr>
      <w:rPr>
        <w:color w:val="E0A23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DE7D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753dc0465c8e6c633b2a12432ea706d21de970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2026-06-07T15:44:41.345Z</dcterms:created>
  <dcterms:modified xsi:type="dcterms:W3CDTF">2026-06-07T15:44:41.345Z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