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09 · NEURAL INTEROP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The Bridge Between
Neural Toolchains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Vector in, vector out — Jneopallium as the reasoning stage between neural systems.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B98724"/>
                <w:sz w:val="18"/>
                <w:szCs w:val="18"/>
                <w:shd w:fill="1C2229" w:val="clear"/>
              </w:rPr>
              <w:t xml:space="preserve"> ADVISORY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PROBLEM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Neural stacks don't live alone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A neuromorphic or simulation model produces vectors — and then needs something to act on them.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Gluing toolchains together usually means brittle, bespoke adapters.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And a demo that needs a full Python runtime installed is a demo nobody runs.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The gap is a clean, typed stage that sits between systems.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SOLUTION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 reasoning stage with a clean contract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ingests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 Nengo-style vector stream — channels and a timestamp.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transforms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temporal feature extraction and smoothing, then a decision.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emits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an output vector with an explicit confidence.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HOW IT WORKS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Vectors in, vectors-with-confidence out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3295650"/>
                  <wp:effectExtent t="0" r="0" b="0" l="0"/>
                  <wp:docPr id="1" name="d" descr="A transform layer smooths the stream before the decision layer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A transform layer smooths the stream before the decision layer.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PROOF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 clean interop contract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75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output vectors from the deterministic stream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rows out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Confidence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emitted on every output frame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No Python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mock source — runs without a Nengo install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WHERE IT SITS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 well-behaved middle stage</w:t>
            </w:r>
          </w:p>
          <w:tbl>
            <w:tblPr>
              <w:tblW w:type="dxa" w:w="134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700"/>
              <w:gridCol w:w="6700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UPSTREAM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A Nengo / neuromorphic model produces vectors.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Mock today; a live feed tomorrow.</w:t>
                  </w:r>
                </w:p>
              </w:tc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300"/>
                  </w:tcMar>
                </w:tcPr>
                <w:p>
                  <w:pPr>
                    <w:pBdr>
                      <w:bottom w:val="single" w:color="4A5560" w:sz="6" w:space="4"/>
                    </w:pBdr>
                    <w:spacing w:after="13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E0A23A"/>
                      <w:spacing w:val="30"/>
                      <w:sz w:val="15"/>
                      <w:szCs w:val="15"/>
                    </w:rPr>
                    <w:t xml:space="preserve">DOWNSTREAM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Receives a vector + confidence.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10" w:line="268"/>
                  </w:pPr>
                  <w:r>
                    <w:rPr>
                      <w:rFonts w:ascii="Arial" w:cs="Arial" w:eastAsia="Arial" w:hAnsi="Arial"/>
                      <w:color w:val="E3DDD0"/>
                      <w:sz w:val="23"/>
                      <w:szCs w:val="23"/>
                    </w:rPr>
                    <w:t xml:space="preserve">Owns whatever happens next.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CEILING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Advisory, by role</w:t>
            </w:r>
          </w:p>
          <w:tbl>
            <w:tblPr>
              <w:tblW w:type="dxa" w:w="13400"/>
              <w:tblBorders>
                <w:top w:val="single" w:color="2A333C" w:sz="4"/>
                <w:left w:val="single" w:color="B98724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B98724"/>
                      <w:sz w:val="19"/>
                      <w:szCs w:val="19"/>
                    </w:rPr>
                    <w:t xml:space="preserve">ADVISORY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Emits a vector and a confidence; the receiving system decides.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Typed contract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Vectors in, vectors-with-confidence out — stable across swaps.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No install needed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A deterministic mock source proves the contract in CI.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Interoperability isn't glamorous — but a clean, typed stage between toolchains is what makes the glamorous parts composable.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The case for Demo 09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09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Sit between the systems.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A typed vector-in, vector-out reasoning stage with confidence.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ADVISORY · deterministic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b6752af3e6e8434f61f2bdac2366da447bf15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2026-06-07T15:44:52.066Z</dcterms:created>
  <dcterms:modified xsi:type="dcterms:W3CDTF">2026-06-07T15:44:52.067Z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