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ДЕМО 09 · НЕЙРОННА СУМІСНІСТЬ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Міст між нейронними
інструментами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Вектор на вході, вектор на виході — Jneopallium як етап міркування між нейронними системами.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B98724"/>
                <w:sz w:val="18"/>
                <w:szCs w:val="18"/>
                <w:shd w:fill="1C2229" w:val="clear"/>
              </w:rPr>
              <w:t xml:space="preserve"> ADVISORY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ПРОБЛЕМА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Нейронні стеки не живуть наодинці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Нейроморфна чи симуляційна модель дає вектори — і тоді потребує чогось, що з ними діятиме.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Склеювання інструментів зазвичай означає крихкі, саморобні адаптери.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А демо, що потребує встановленого середовища Python, — це демо, яке ніхто не запускає.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Прогалина — це чистий типізований етап, що стоїть між системами.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РІШЕННЯ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Етап міркування з чистим контрактом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Приймає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потік векторів у стилі Nengo — канали й мітку часу.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Перетворює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виокремлення часових ознак і згладжування, а тоді рішення.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Видає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вихідний вектор із явною впевненістю.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ЯК ЦЕ ПРАЦЮЄ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Вектори на вході, вектори-з-впевненістю на виході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5334000" cy="3295650"/>
                  <wp:effectExtent t="0" r="0" b="0" l="0"/>
                  <wp:docPr id="1" name="d" descr="Шар перетворення згладжує потік перед шаром рішення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Шар перетворення згладжує потік перед шаром рішення.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ДОКАЗ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Чистий контракт сумісності</w:t>
            </w:r>
          </w:p>
          <w:tbl>
            <w:tblPr>
              <w:tblW w:type="dxa" w:w="1340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7"/>
              <w:gridCol w:w="240"/>
              <w:gridCol w:w="4307"/>
              <w:gridCol w:w="240"/>
              <w:gridCol w:w="4307"/>
            </w:tblGrid>
            <w:tr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75</w:t>
                  </w:r>
                </w:p>
                <w:p>
                  <w:pPr>
                    <w:spacing w:after="6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вихідних векторів із детермінованого потоку</w:t>
                  </w:r>
                </w:p>
                <w:p>
                  <w:r>
                    <w:rPr>
                      <w:rFonts w:ascii="Consolas" w:cs="Consolas" w:eastAsia="Consolas" w:hAnsi="Consolas"/>
                      <w:color w:val="E0A23A"/>
                      <w:sz w:val="15"/>
                      <w:szCs w:val="15"/>
                    </w:rPr>
                    <w:t xml:space="preserve">рядків на виході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Впевненість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видається на кожен вихідний кадр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Без Python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макетне джерело — працює без встановлення Nengo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ДЕ ВОНО СТОЇТЬ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Добре поведений проміжний етап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700"/>
              <w:gridCol w:w="6700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ВИЩЕ ЗА ТЕЧІЄЮ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Модель Nengo / нейроморфна дає вектори.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Сьогодні макет; завтра живий потік.</w:t>
                  </w:r>
                </w:p>
              </w:tc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НИЖЧЕ ЗА ТЕЧІЄЮ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Отримує вектор + впевненість.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Володіє тим, що стається далі.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МЕЖА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Рекомендаційна, за роллю</w:t>
            </w:r>
          </w:p>
          <w:tbl>
            <w:tblPr>
              <w:tblW w:type="dxa" w:w="13400"/>
              <w:tblBorders>
                <w:top w:val="single" w:color="2A333C" w:sz="4"/>
                <w:left w:val="single" w:color="B98724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B98724"/>
                      <w:sz w:val="19"/>
                      <w:szCs w:val="19"/>
                    </w:rPr>
                    <w:t xml:space="preserve">ADVISORY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Видає вектор і впевненість; система, що приймає, вирішує.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Типізований контракт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Вектори на вході, вектори-з-впевненістю на виході — стабільні попри заміни.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Без встановлення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Детерміноване макетне джерело доводить контракт у CI.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Сумісність не гламурна — але чистий типізований етап між інструментами є тим, що робить гламурні частини компонованими.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Аргумент на користь Демо 09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ДЕМО 09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Станьте між системами.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Типізований етап міркування «вектор на вході — вектор на виході» із впевненістю.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github.com/rakovpublic/jneopallium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ADVISORY · детерміновано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4945d9fb9cb1a45e0e76db8c46d95feaffe8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2026-06-07T15:44:52.450Z</dcterms:created>
  <dcterms:modified xsi:type="dcterms:W3CDTF">2026-06-07T15:44:52.450Z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