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9173"/>
      </w:tblGrid>
      <w:tr>
        <w:tc>
          <w:tcPr>
            <w:tcW w:type="dxa" w:w="9173"/>
            <w:shd w:val="clear" w:color="auto" w:fill="102A54"/>
            <w:tcMar>
              <w:top w:w="260" w:type="dxa"/>
              <w:bottom w:w="260" w:type="dxa"/>
              <w:start w:w="240" w:type="dxa"/>
              <w:end w:w="240" w:type="dxa"/>
            </w:tcMar>
          </w:tcPr>
          <w:p>
            <w:pPr>
              <w:spacing w:after="40"/>
            </w:pPr>
            <w:r>
              <w:rPr>
                <w:rFonts w:ascii="Calibri" w:hAnsi="Calibri"/>
                <w:b/>
                <w:color w:val="8FC2F0"/>
                <w:sz w:val="22"/>
              </w:rPr>
              <w:t>JNEOPALLIUM · DEMO 06</w:t>
            </w:r>
          </w:p>
          <w:p>
            <w:pPr>
              <w:spacing w:after="40"/>
            </w:pPr>
            <w:r>
              <w:rPr>
                <w:rFonts w:ascii="Calibri" w:hAnsi="Calibri"/>
                <w:color w:val="B9C6DA"/>
                <w:sz w:val="18"/>
              </w:rPr>
              <w:t>DEPLOYMENT GUIDE</w:t>
            </w:r>
          </w:p>
        </w:tc>
      </w:tr>
    </w:tbl>
    <w:p>
      <w:pPr>
        <w:spacing w:after="0" w:before="0"/>
      </w:pPr>
      <w:r>
        <w:rPr>
          <w:sz w:val="40"/>
        </w:rPr>
      </w:r>
    </w:p>
    <w:p>
      <w:pPr>
        <w:spacing w:after="80"/>
      </w:pPr>
      <w:r>
        <w:rPr>
          <w:rFonts w:ascii="Calibri" w:hAnsi="Calibri"/>
          <w:b/>
          <w:color w:val="102A54"/>
          <w:sz w:val="60"/>
        </w:rPr>
        <w:t>Deployment Guide</w:t>
      </w:r>
    </w:p>
    <w:p>
      <w:pPr>
        <w:spacing w:after="200"/>
      </w:pPr>
      <w:r>
        <w:rPr>
          <w:rFonts w:ascii="Calibri" w:hAnsi="Calibri"/>
          <w:color w:val="1C5D99"/>
          <w:sz w:val="28"/>
        </w:rPr>
        <w:t>Cybersecurity Temporal Threat Correlation — run the trained network as an advisory worker</w:t>
      </w:r>
    </w:p>
    <w:p>
      <w:pPr>
        <w:pBdr>
          <w:bottom w:val="single" w:sz="10" w:space="4" w:color="0E7C86"/>
        </w:pBdr>
      </w:pPr>
    </w:p>
    <w:p>
      <w:pPr>
        <w:spacing w:after="0" w:before="0"/>
      </w:pPr>
      <w:r>
        <w:rPr>
          <w:sz w:val="16"/>
        </w:rPr>
      </w:r>
    </w:p>
    <w:p>
      <w:pPr>
        <w:spacing w:after="120"/>
      </w:pPr>
      <w:r>
        <w:rPr>
          <w:rFonts w:ascii="Calibri" w:hAnsi="Calibri"/>
          <w:i/>
          <w:color w:val="555F70"/>
          <w:sz w:val="23"/>
        </w:rPr>
        <w:t>The deployment half of the pipeline: take the JNeopallium network the trainer produced, wire it to your event sources and output sink, and run it as a continuous, shadow-to-advisory security worker — configured exactly as the architecture intends.</w:t>
      </w:r>
    </w:p>
    <w:p>
      <w:pPr>
        <w:spacing w:after="0" w:before="0"/>
      </w:pPr>
      <w:r>
        <w:rPr>
          <w:sz w:val="20"/>
        </w:rPr>
      </w:r>
    </w:p>
    <w:tbl>
      <w:tblPr>
        <w:tblW w:type="auto" w:w="0"/>
        <w:tblLook w:firstColumn="1" w:firstRow="1" w:lastColumn="0" w:lastRow="0" w:noHBand="0" w:noVBand="1" w:val="04A0"/>
        <w:tblBorders>
          <w:top w:val="none"/>
          <w:left w:val="none"/>
          <w:bottom w:val="none"/>
          <w:right w:val="none"/>
          <w:insideH w:val="none"/>
          <w:insideV w:val="none"/>
        </w:tblBorders>
      </w:tblPr>
      <w:tblGrid>
        <w:gridCol w:w="4586"/>
        <w:gridCol w:w="4586"/>
      </w:tblGrid>
      <w:tr>
        <w:tc>
          <w:tcPr>
            <w:tcW w:type="dxa" w:w="4586"/>
            <w:tcMar>
              <w:top w:w="40" w:type="dxa"/>
              <w:bottom w:w="40" w:type="dxa"/>
              <w:start w:w="0" w:type="dxa"/>
              <w:end w:w="120" w:type="dxa"/>
            </w:tcMar>
          </w:tcPr>
          <w:p>
            <w:pPr>
              <w:spacing w:after="0"/>
            </w:pPr>
            <w:r>
              <w:rPr>
                <w:rFonts w:ascii="Calibri" w:hAnsi="Calibri"/>
                <w:b/>
                <w:color w:val="555F70"/>
                <w:sz w:val="19"/>
              </w:rPr>
              <w:t>Document</w:t>
            </w:r>
          </w:p>
        </w:tc>
        <w:tc>
          <w:tcPr>
            <w:tcW w:type="dxa" w:w="4586"/>
            <w:tcMar>
              <w:top w:w="40" w:type="dxa"/>
              <w:bottom w:w="40" w:type="dxa"/>
              <w:start w:w="0" w:type="dxa"/>
              <w:end w:w="0" w:type="dxa"/>
            </w:tcMar>
          </w:tcPr>
          <w:p>
            <w:pPr>
              <w:spacing w:after="0"/>
            </w:pPr>
            <w:r>
              <w:rPr>
                <w:rFonts w:ascii="Calibri" w:hAnsi="Calibri"/>
                <w:color w:val="141B2E"/>
                <w:sz w:val="19"/>
              </w:rPr>
              <w:t>Production Deployment Guide</w:t>
            </w:r>
          </w:p>
        </w:tc>
      </w:tr>
      <w:tr>
        <w:tc>
          <w:tcPr>
            <w:tcW w:type="dxa" w:w="4586"/>
            <w:tcMar>
              <w:top w:w="40" w:type="dxa"/>
              <w:bottom w:w="40" w:type="dxa"/>
              <w:start w:w="0" w:type="dxa"/>
              <w:end w:w="120" w:type="dxa"/>
            </w:tcMar>
          </w:tcPr>
          <w:p>
            <w:pPr>
              <w:spacing w:after="0"/>
            </w:pPr>
            <w:r>
              <w:rPr>
                <w:rFonts w:ascii="Calibri" w:hAnsi="Calibri"/>
                <w:b/>
                <w:color w:val="555F70"/>
                <w:sz w:val="19"/>
              </w:rPr>
              <w:t>Product</w:t>
            </w:r>
          </w:p>
        </w:tc>
        <w:tc>
          <w:tcPr>
            <w:tcW w:type="dxa" w:w="4586"/>
            <w:tcMar>
              <w:top w:w="40" w:type="dxa"/>
              <w:bottom w:w="40" w:type="dxa"/>
              <w:start w:w="0" w:type="dxa"/>
              <w:end w:w="0" w:type="dxa"/>
            </w:tcMar>
          </w:tcPr>
          <w:p>
            <w:pPr>
              <w:spacing w:after="0"/>
            </w:pPr>
            <w:r>
              <w:rPr>
                <w:rFonts w:ascii="Calibri" w:hAnsi="Calibri"/>
                <w:color w:val="141B2E"/>
                <w:sz w:val="19"/>
              </w:rPr>
              <w:t>Jneopallium Cybersecurity Module (Demo 06)</w:t>
            </w:r>
          </w:p>
        </w:tc>
      </w:tr>
      <w:tr>
        <w:tc>
          <w:tcPr>
            <w:tcW w:type="dxa" w:w="4586"/>
            <w:tcMar>
              <w:top w:w="40" w:type="dxa"/>
              <w:bottom w:w="40" w:type="dxa"/>
              <w:start w:w="0" w:type="dxa"/>
              <w:end w:w="120" w:type="dxa"/>
            </w:tcMar>
          </w:tcPr>
          <w:p>
            <w:pPr>
              <w:spacing w:after="0"/>
            </w:pPr>
            <w:r>
              <w:rPr>
                <w:rFonts w:ascii="Calibri" w:hAnsi="Calibri"/>
                <w:b/>
                <w:color w:val="555F70"/>
                <w:sz w:val="19"/>
              </w:rPr>
              <w:t>Consumes</w:t>
            </w:r>
          </w:p>
        </w:tc>
        <w:tc>
          <w:tcPr>
            <w:tcW w:type="dxa" w:w="4586"/>
            <w:tcMar>
              <w:top w:w="40" w:type="dxa"/>
              <w:bottom w:w="40" w:type="dxa"/>
              <w:start w:w="0" w:type="dxa"/>
              <w:end w:w="0" w:type="dxa"/>
            </w:tcMar>
          </w:tcPr>
          <w:p>
            <w:pPr>
              <w:spacing w:after="0"/>
            </w:pPr>
            <w:r>
              <w:rPr>
                <w:rFonts w:ascii="Calibri" w:hAnsi="Calibri"/>
                <w:color w:val="141B2E"/>
                <w:sz w:val="19"/>
              </w:rPr>
              <w:t>The deployable network from the Training Guide</w:t>
            </w:r>
          </w:p>
        </w:tc>
      </w:tr>
      <w:tr>
        <w:tc>
          <w:tcPr>
            <w:tcW w:type="dxa" w:w="4586"/>
            <w:tcMar>
              <w:top w:w="40" w:type="dxa"/>
              <w:bottom w:w="40" w:type="dxa"/>
              <w:start w:w="0" w:type="dxa"/>
              <w:end w:w="120" w:type="dxa"/>
            </w:tcMar>
          </w:tcPr>
          <w:p>
            <w:pPr>
              <w:spacing w:after="0"/>
            </w:pPr>
            <w:r>
              <w:rPr>
                <w:rFonts w:ascii="Calibri" w:hAnsi="Calibri"/>
                <w:b/>
                <w:color w:val="555F70"/>
                <w:sz w:val="19"/>
              </w:rPr>
              <w:t>Safety mode</w:t>
            </w:r>
          </w:p>
        </w:tc>
        <w:tc>
          <w:tcPr>
            <w:tcW w:type="dxa" w:w="4586"/>
            <w:tcMar>
              <w:top w:w="40" w:type="dxa"/>
              <w:bottom w:w="40" w:type="dxa"/>
              <w:start w:w="0" w:type="dxa"/>
              <w:end w:w="0" w:type="dxa"/>
            </w:tcMar>
          </w:tcPr>
          <w:p>
            <w:pPr>
              <w:spacing w:after="0"/>
            </w:pPr>
            <w:r>
              <w:rPr>
                <w:rFonts w:ascii="Calibri" w:hAnsi="Calibri"/>
                <w:color w:val="141B2E"/>
                <w:sz w:val="19"/>
              </w:rPr>
              <w:t>ADVISORY (recommend-only)</w:t>
            </w:r>
          </w:p>
        </w:tc>
      </w:tr>
      <w:tr>
        <w:tc>
          <w:tcPr>
            <w:tcW w:type="dxa" w:w="4586"/>
            <w:tcMar>
              <w:top w:w="40" w:type="dxa"/>
              <w:bottom w:w="40" w:type="dxa"/>
              <w:start w:w="0" w:type="dxa"/>
              <w:end w:w="120" w:type="dxa"/>
            </w:tcMar>
          </w:tcPr>
          <w:p>
            <w:pPr>
              <w:spacing w:after="0"/>
            </w:pPr>
            <w:r>
              <w:rPr>
                <w:rFonts w:ascii="Calibri" w:hAnsi="Calibri"/>
                <w:b/>
                <w:color w:val="555F70"/>
                <w:sz w:val="19"/>
              </w:rPr>
              <w:t>Platforms</w:t>
            </w:r>
          </w:p>
        </w:tc>
        <w:tc>
          <w:tcPr>
            <w:tcW w:type="dxa" w:w="4586"/>
            <w:tcMar>
              <w:top w:w="40" w:type="dxa"/>
              <w:bottom w:w="40" w:type="dxa"/>
              <w:start w:w="0" w:type="dxa"/>
              <w:end w:w="0" w:type="dxa"/>
            </w:tcMar>
          </w:tcPr>
          <w:p>
            <w:pPr>
              <w:spacing w:after="0"/>
            </w:pPr>
            <w:r>
              <w:rPr>
                <w:rFonts w:ascii="Calibri" w:hAnsi="Calibri"/>
                <w:color w:val="141B2E"/>
                <w:sz w:val="19"/>
              </w:rPr>
              <w:t>Windows (PowerShell) and Linux/macOS (bash)</w:t>
            </w:r>
          </w:p>
        </w:tc>
      </w:tr>
      <w:tr>
        <w:tc>
          <w:tcPr>
            <w:tcW w:type="dxa" w:w="4586"/>
            <w:tcMar>
              <w:top w:w="40" w:type="dxa"/>
              <w:bottom w:w="40" w:type="dxa"/>
              <w:start w:w="0" w:type="dxa"/>
              <w:end w:w="120" w:type="dxa"/>
            </w:tcMar>
          </w:tcPr>
          <w:p>
            <w:pPr>
              <w:spacing w:after="0"/>
            </w:pPr>
            <w:r>
              <w:rPr>
                <w:rFonts w:ascii="Calibri" w:hAnsi="Calibri"/>
                <w:b/>
                <w:color w:val="555F70"/>
                <w:sz w:val="19"/>
              </w:rPr>
              <w:t>Author</w:t>
            </w:r>
          </w:p>
        </w:tc>
        <w:tc>
          <w:tcPr>
            <w:tcW w:type="dxa" w:w="4586"/>
            <w:tcMar>
              <w:top w:w="40" w:type="dxa"/>
              <w:bottom w:w="40" w:type="dxa"/>
              <w:start w:w="0" w:type="dxa"/>
              <w:end w:w="0" w:type="dxa"/>
            </w:tcMar>
          </w:tcPr>
          <w:p>
            <w:pPr>
              <w:spacing w:after="0"/>
            </w:pPr>
            <w:r>
              <w:rPr>
                <w:rFonts w:ascii="Calibri" w:hAnsi="Calibri"/>
                <w:color w:val="141B2E"/>
                <w:sz w:val="19"/>
              </w:rPr>
              <w:t>Dmytro Rakovskyi — Kharkiv, Ukraine</w:t>
            </w:r>
          </w:p>
        </w:tc>
      </w:tr>
      <w:tr>
        <w:tc>
          <w:tcPr>
            <w:tcW w:type="dxa" w:w="4586"/>
            <w:tcMar>
              <w:top w:w="40" w:type="dxa"/>
              <w:bottom w:w="40" w:type="dxa"/>
              <w:start w:w="0" w:type="dxa"/>
              <w:end w:w="120" w:type="dxa"/>
            </w:tcMar>
          </w:tcPr>
          <w:p>
            <w:pPr>
              <w:spacing w:after="0"/>
            </w:pPr>
            <w:r>
              <w:rPr>
                <w:rFonts w:ascii="Calibri" w:hAnsi="Calibri"/>
                <w:b/>
                <w:color w:val="555F70"/>
                <w:sz w:val="19"/>
              </w:rPr>
              <w:t>Date</w:t>
            </w:r>
          </w:p>
        </w:tc>
        <w:tc>
          <w:tcPr>
            <w:tcW w:type="dxa" w:w="4586"/>
            <w:tcMar>
              <w:top w:w="40" w:type="dxa"/>
              <w:bottom w:w="40" w:type="dxa"/>
              <w:start w:w="0" w:type="dxa"/>
              <w:end w:w="0" w:type="dxa"/>
            </w:tcMar>
          </w:tcPr>
          <w:p>
            <w:pPr>
              <w:spacing w:after="0"/>
            </w:pPr>
            <w:r>
              <w:rPr>
                <w:rFonts w:ascii="Calibri" w:hAnsi="Calibri"/>
                <w:color w:val="141B2E"/>
                <w:sz w:val="19"/>
              </w:rPr>
              <w:t>23 June 2026</w:t>
            </w:r>
          </w:p>
        </w:tc>
      </w:tr>
      <w:tr>
        <w:tc>
          <w:tcPr>
            <w:tcW w:type="dxa" w:w="2448"/>
            <w:tcMar>
              <w:top w:w="40" w:type="dxa"/>
              <w:bottom w:w="40" w:type="dxa"/>
              <w:start w:w="0" w:type="dxa"/>
              <w:end w:w="120" w:type="dxa"/>
            </w:tcMar>
          </w:tcPr>
          <w:p>
            <w:pPr>
              <w:spacing w:after="0"/>
            </w:pPr>
            <w:r>
              <w:rPr>
                <w:rFonts w:ascii="Calibri" w:hAnsi="Calibri"/>
                <w:b/>
                <w:color w:val="555F70"/>
                <w:sz w:val="19"/>
              </w:rPr>
              <w:t>License</w:t>
            </w:r>
          </w:p>
        </w:tc>
        <w:tc>
          <w:tcPr>
            <w:tcW w:type="dxa" w:w="6624"/>
            <w:tcMar>
              <w:top w:w="40" w:type="dxa"/>
              <w:bottom w:w="40" w:type="dxa"/>
              <w:start w:w="0" w:type="dxa"/>
              <w:end w:w="0" w:type="dxa"/>
            </w:tcMar>
          </w:tcPr>
          <w:p>
            <w:pPr>
              <w:spacing w:after="0"/>
            </w:pPr>
            <w:r>
              <w:rPr>
                <w:rFonts w:ascii="Calibri" w:hAnsi="Calibri"/>
                <w:color w:val="141B2E"/>
                <w:sz w:val="19"/>
              </w:rPr>
              <w:t>BSD 3-Clause</w:t>
            </w:r>
          </w:p>
        </w:tc>
      </w:tr>
    </w:tbl>
    <w:p>
      <w:r>
        <w:br w:type="page"/>
      </w:r>
    </w:p>
    <w:p>
      <w:pPr>
        <w:keepNext/>
        <w:spacing w:before="320" w:after="40"/>
        <w:pBdr>
          <w:bottom w:val="single" w:sz="10" w:space="4" w:color="0E7C86"/>
        </w:pBdr>
      </w:pPr>
      <w:r>
        <w:rPr>
          <w:rFonts w:ascii="Calibri" w:hAnsi="Calibri"/>
          <w:b/>
          <w:color w:val="102A54"/>
          <w:sz w:val="34"/>
        </w:rPr>
        <w:t>Contents</w:t>
      </w:r>
    </w:p>
    <w:p>
      <w:pPr>
        <w:spacing w:after="80"/>
        <w:ind w:left="144"/>
      </w:pPr>
      <w:r>
        <w:rPr>
          <w:rFonts w:ascii="Calibri" w:hAnsi="Calibri"/>
          <w:b/>
          <w:color w:val="0E7C86"/>
          <w:sz w:val="21"/>
        </w:rPr>
        <w:t xml:space="preserve"> 1.  </w:t>
      </w:r>
      <w:r>
        <w:rPr>
          <w:rFonts w:ascii="Calibri" w:hAnsi="Calibri"/>
          <w:color w:val="141B2E"/>
          <w:sz w:val="21"/>
        </w:rPr>
        <w:t>What you will achieve</w:t>
      </w:r>
    </w:p>
    <w:p>
      <w:pPr>
        <w:spacing w:after="80"/>
        <w:ind w:left="144"/>
      </w:pPr>
      <w:r>
        <w:rPr>
          <w:rFonts w:ascii="Calibri" w:hAnsi="Calibri"/>
          <w:b/>
          <w:color w:val="0E7C86"/>
          <w:sz w:val="21"/>
        </w:rPr>
        <w:t xml:space="preserve"> 2.  </w:t>
      </w:r>
      <w:r>
        <w:rPr>
          <w:rFonts w:ascii="Calibri" w:hAnsi="Calibri"/>
          <w:color w:val="141B2E"/>
          <w:sz w:val="21"/>
        </w:rPr>
        <w:t>Prerequisites — the trained package and runtime</w:t>
      </w:r>
    </w:p>
    <w:p>
      <w:pPr>
        <w:spacing w:after="80"/>
        <w:ind w:left="144"/>
      </w:pPr>
      <w:r>
        <w:rPr>
          <w:rFonts w:ascii="Calibri" w:hAnsi="Calibri"/>
          <w:b/>
          <w:color w:val="0E7C86"/>
          <w:sz w:val="21"/>
        </w:rPr>
        <w:t xml:space="preserve"> 3.  </w:t>
      </w:r>
      <w:r>
        <w:rPr>
          <w:rFonts w:ascii="Calibri" w:hAnsi="Calibri"/>
          <w:color w:val="141B2E"/>
          <w:sz w:val="21"/>
        </w:rPr>
        <w:t>The launch architecture</w:t>
      </w:r>
    </w:p>
    <w:p>
      <w:pPr>
        <w:spacing w:after="80"/>
        <w:ind w:left="144"/>
      </w:pPr>
      <w:r>
        <w:rPr>
          <w:rFonts w:ascii="Calibri" w:hAnsi="Calibri"/>
          <w:b/>
          <w:color w:val="0E7C86"/>
          <w:sz w:val="21"/>
        </w:rPr>
        <w:t xml:space="preserve"> 4.  </w:t>
      </w:r>
      <w:r>
        <w:rPr>
          <w:rFonts w:ascii="Calibri" w:hAnsi="Calibri"/>
          <w:color w:val="141B2E"/>
          <w:sz w:val="21"/>
        </w:rPr>
        <w:t>The deployable package (what training produced)</w:t>
      </w:r>
    </w:p>
    <w:p>
      <w:pPr>
        <w:spacing w:after="80"/>
        <w:ind w:left="144"/>
      </w:pPr>
      <w:r>
        <w:rPr>
          <w:rFonts w:ascii="Calibri" w:hAnsi="Calibri"/>
          <w:b/>
          <w:color w:val="0E7C86"/>
          <w:sz w:val="21"/>
        </w:rPr>
        <w:t xml:space="preserve"> 5.  </w:t>
      </w:r>
      <w:r>
        <w:rPr>
          <w:rFonts w:ascii="Calibri" w:hAnsi="Calibri"/>
          <w:color w:val="141B2E"/>
          <w:sz w:val="21"/>
        </w:rPr>
        <w:t>Point the worker at the generated neuron-net structure</w:t>
      </w:r>
    </w:p>
    <w:p>
      <w:pPr>
        <w:spacing w:after="80"/>
        <w:ind w:left="144"/>
      </w:pPr>
      <w:r>
        <w:rPr>
          <w:rFonts w:ascii="Calibri" w:hAnsi="Calibri"/>
          <w:b/>
          <w:color w:val="0E7C86"/>
          <w:sz w:val="21"/>
        </w:rPr>
        <w:t xml:space="preserve"> 6.  </w:t>
      </w:r>
      <w:r>
        <w:rPr>
          <w:rFonts w:ascii="Calibri" w:hAnsi="Calibri"/>
          <w:color w:val="141B2E"/>
          <w:sz w:val="21"/>
        </w:rPr>
        <w:t>Package the deployment JAR</w:t>
      </w:r>
    </w:p>
    <w:p>
      <w:pPr>
        <w:spacing w:after="80"/>
        <w:ind w:left="144"/>
      </w:pPr>
      <w:r>
        <w:rPr>
          <w:rFonts w:ascii="Calibri" w:hAnsi="Calibri"/>
          <w:b/>
          <w:color w:val="0E7C86"/>
          <w:sz w:val="21"/>
        </w:rPr>
        <w:t xml:space="preserve"> 7.  </w:t>
      </w:r>
      <w:r>
        <w:rPr>
          <w:rFonts w:ascii="Calibri" w:hAnsi="Calibri"/>
          <w:color w:val="141B2E"/>
          <w:sz w:val="21"/>
        </w:rPr>
        <w:t>Runtime configuration: the IContext property reference</w:t>
      </w:r>
    </w:p>
    <w:p>
      <w:pPr>
        <w:spacing w:after="80"/>
        <w:ind w:left="144"/>
      </w:pPr>
      <w:r>
        <w:rPr>
          <w:rFonts w:ascii="Calibri" w:hAnsi="Calibri"/>
          <w:b/>
          <w:color w:val="0E7C86"/>
          <w:sz w:val="21"/>
        </w:rPr>
        <w:t xml:space="preserve"> 8.  </w:t>
      </w:r>
      <w:r>
        <w:rPr>
          <w:rFonts w:ascii="Calibri" w:hAnsi="Calibri"/>
          <w:color w:val="141B2E"/>
          <w:sz w:val="21"/>
        </w:rPr>
        <w:t>Configure event sources and streaming input</w:t>
      </w:r>
    </w:p>
    <w:p>
      <w:pPr>
        <w:spacing w:after="80"/>
        <w:ind w:left="144"/>
      </w:pPr>
      <w:r>
        <w:rPr>
          <w:rFonts w:ascii="Calibri" w:hAnsi="Calibri"/>
          <w:b/>
          <w:color w:val="0E7C86"/>
          <w:sz w:val="21"/>
        </w:rPr>
        <w:t xml:space="preserve"> 9.  </w:t>
      </w:r>
      <w:r>
        <w:rPr>
          <w:rFonts w:ascii="Calibri" w:hAnsi="Calibri"/>
          <w:color w:val="141B2E"/>
          <w:sz w:val="21"/>
        </w:rPr>
        <w:t>Wire the output aggregator and launch the worker</w:t>
      </w:r>
    </w:p>
    <w:p>
      <w:pPr>
        <w:spacing w:after="80"/>
        <w:ind w:left="144"/>
      </w:pPr>
      <w:r>
        <w:rPr>
          <w:rFonts w:ascii="Calibri" w:hAnsi="Calibri"/>
          <w:b/>
          <w:color w:val="0E7C86"/>
          <w:sz w:val="21"/>
        </w:rPr>
        <w:t xml:space="preserve">10.  </w:t>
      </w:r>
      <w:r>
        <w:rPr>
          <w:rFonts w:ascii="Calibri" w:hAnsi="Calibri"/>
          <w:color w:val="141B2E"/>
          <w:sz w:val="21"/>
        </w:rPr>
        <w:t>Promote from shadow mode to operator-visible advisory</w:t>
      </w:r>
    </w:p>
    <w:p>
      <w:pPr>
        <w:spacing w:after="80"/>
        <w:ind w:left="144"/>
      </w:pPr>
      <w:r>
        <w:rPr>
          <w:rFonts w:ascii="Calibri" w:hAnsi="Calibri"/>
          <w:b/>
          <w:color w:val="0E7C86"/>
          <w:sz w:val="21"/>
        </w:rPr>
        <w:t xml:space="preserve">11.  </w:t>
      </w:r>
      <w:r>
        <w:rPr>
          <w:rFonts w:ascii="Calibri" w:hAnsi="Calibri"/>
          <w:color w:val="141B2E"/>
          <w:sz w:val="21"/>
        </w:rPr>
        <w:t>Monitoring in production</w:t>
      </w:r>
    </w:p>
    <w:p>
      <w:pPr>
        <w:spacing w:after="80"/>
        <w:ind w:left="144"/>
      </w:pPr>
      <w:r>
        <w:rPr>
          <w:rFonts w:ascii="Calibri" w:hAnsi="Calibri"/>
          <w:b/>
          <w:color w:val="0E7C86"/>
          <w:sz w:val="21"/>
        </w:rPr>
        <w:t xml:space="preserve">12.  </w:t>
      </w:r>
      <w:r>
        <w:rPr>
          <w:rFonts w:ascii="Calibri" w:hAnsi="Calibri"/>
          <w:color w:val="141B2E"/>
          <w:sz w:val="21"/>
        </w:rPr>
        <w:t>Safety, rollback and packaging</w:t>
      </w:r>
    </w:p>
    <w:p>
      <w:pPr>
        <w:spacing w:after="80"/>
        <w:ind w:left="144"/>
      </w:pPr>
      <w:r>
        <w:rPr>
          <w:rFonts w:ascii="Calibri" w:hAnsi="Calibri"/>
          <w:b/>
          <w:color w:val="0E7C86"/>
          <w:sz w:val="21"/>
        </w:rPr>
        <w:t xml:space="preserve">13.  </w:t>
      </w:r>
      <w:r>
        <w:rPr>
          <w:rFonts w:ascii="Calibri" w:hAnsi="Calibri"/>
          <w:color w:val="141B2E"/>
          <w:sz w:val="21"/>
        </w:rPr>
        <w:t>Troubleshooting</w:t>
      </w:r>
    </w:p>
    <w:p>
      <w:pPr>
        <w:spacing w:after="80"/>
        <w:ind w:left="144"/>
      </w:pPr>
      <w:r>
        <w:rPr>
          <w:rFonts w:ascii="Calibri" w:hAnsi="Calibri"/>
          <w:b/>
          <w:color w:val="0E7C86"/>
          <w:sz w:val="21"/>
        </w:rPr>
        <w:t xml:space="preserve">14.  </w:t>
      </w:r>
      <w:r>
        <w:rPr>
          <w:rFonts w:ascii="Calibri" w:hAnsi="Calibri"/>
          <w:color w:val="141B2E"/>
          <w:sz w:val="21"/>
        </w:rPr>
        <w:t>Appendix — deployment cheat-sheet</w:t>
      </w:r>
    </w:p>
    <w:p>
      <w:r>
        <w:br w:type="page"/>
      </w:r>
    </w:p>
    <w:p>
      <w:pPr>
        <w:keepNext/>
        <w:spacing w:before="320" w:after="40"/>
        <w:pBdr>
          <w:bottom w:val="single" w:sz="10" w:space="4" w:color="0E7C86"/>
        </w:pBdr>
      </w:pPr>
      <w:r>
        <w:rPr>
          <w:rFonts w:ascii="Calibri" w:hAnsi="Calibri"/>
          <w:b/>
          <w:color w:val="0E7C86"/>
          <w:sz w:val="34"/>
        </w:rPr>
        <w:t xml:space="preserve">1  </w:t>
      </w:r>
      <w:r>
        <w:rPr>
          <w:rFonts w:ascii="Calibri" w:hAnsi="Calibri"/>
          <w:b/>
          <w:color w:val="102A54"/>
          <w:sz w:val="34"/>
        </w:rPr>
        <w:t>What you will achieve</w:t>
      </w:r>
    </w:p>
    <w:p>
      <w:pPr>
        <w:spacing w:after="120"/>
      </w:pPr>
      <w:r>
        <w:rPr>
          <w:rFonts w:ascii="Calibri" w:hAnsi="Calibri"/>
          <w:i w:val="0"/>
          <w:color w:val="141B2E"/>
          <w:sz w:val="21"/>
        </w:rPr>
        <w:t xml:space="preserve">By the end of this guide you will have taken the </w:t>
      </w:r>
      <w:r>
        <w:rPr>
          <w:rFonts w:ascii="Calibri" w:hAnsi="Calibri"/>
          <w:b/>
          <w:i w:val="0"/>
          <w:color w:val="141B2E"/>
          <w:sz w:val="21"/>
        </w:rPr>
        <w:t>deployable network produced by the Training Guide</w:t>
      </w:r>
      <w:r>
        <w:rPr>
          <w:rFonts w:ascii="Calibri" w:hAnsi="Calibri"/>
          <w:i w:val="0"/>
          <w:color w:val="141B2E"/>
          <w:sz w:val="21"/>
        </w:rPr>
        <w:t xml:space="preserve"> — a directory of JNeopallium layer and neuron configuration with real runtime classes and embedded trained weights — and run it as a continuous </w:t>
      </w:r>
      <w:r>
        <w:rPr>
          <w:rFonts w:ascii="Calibri" w:hAnsi="Calibri"/>
          <w:b/>
          <w:i w:val="0"/>
          <w:color w:val="141B2E"/>
          <w:sz w:val="21"/>
        </w:rPr>
        <w:t>advisory worker</w:t>
      </w:r>
      <w:r>
        <w:rPr>
          <w:rFonts w:ascii="Calibri" w:hAnsi="Calibri"/>
          <w:i w:val="0"/>
          <w:color w:val="141B2E"/>
          <w:sz w:val="21"/>
        </w:rPr>
        <w:t xml:space="preserve"> that recommends, but never autonomously enforces, security responses.</w:t>
      </w:r>
    </w:p>
    <w:tbl>
      <w:tblPr>
        <w:tblW w:type="auto" w:w="0"/>
        <w:jc w:val="center"/>
        <w:tblLook w:firstColumn="1" w:firstRow="1" w:lastColumn="0" w:lastRow="0" w:noHBand="0" w:noVBand="1" w:val="04A0"/>
        <w:tblBorders>
          <w:top w:val="single" w:sz="4" w:space="0" w:color="FBF1E0"/>
          <w:left w:val="single" w:sz="4" w:space="0" w:color="FBF1E0"/>
          <w:bottom w:val="single" w:sz="4" w:space="0" w:color="FBF1E0"/>
          <w:right w:val="single" w:sz="4" w:space="0" w:color="FBF1E0"/>
          <w:insideH w:val="single" w:sz="4" w:space="0" w:color="FBF1E0"/>
          <w:insideV w:val="single" w:sz="4" w:space="0" w:color="FBF1E0"/>
        </w:tblBorders>
      </w:tblPr>
      <w:tblGrid>
        <w:gridCol w:w="9173"/>
      </w:tblGrid>
      <w:tr>
        <w:tc>
          <w:tcPr>
            <w:tcW w:type="dxa" w:w="9173"/>
            <w:shd w:val="clear" w:color="auto" w:fill="FBF1E0"/>
            <w:tcMar>
              <w:top w:w="120" w:type="dxa"/>
              <w:bottom w:w="120" w:type="dxa"/>
              <w:start w:w="160" w:type="dxa"/>
              <w:end w:w="160" w:type="dxa"/>
            </w:tcMar>
            <w:tcBorders>
              <w:left w:val="single" w:sz="24" w:space="0" w:color="C88A1A"/>
            </w:tcBorders>
          </w:tcPr>
          <w:p>
            <w:pPr>
              <w:spacing w:after="60"/>
            </w:pPr>
            <w:r>
              <w:rPr>
                <w:rFonts w:ascii="Calibri" w:hAnsi="Calibri"/>
                <w:b/>
                <w:color w:val="C88A1A"/>
                <w:sz w:val="21"/>
              </w:rPr>
              <w:t>Safety ceiling for the whole guide</w:t>
            </w:r>
          </w:p>
          <w:p>
            <w:pPr>
              <w:spacing w:after="0"/>
            </w:pPr>
            <w:r>
              <w:rPr>
                <w:rFonts w:ascii="Calibri" w:hAnsi="Calibri"/>
                <w:i w:val="0"/>
                <w:color w:val="141B2E"/>
                <w:sz w:val="20"/>
              </w:rPr>
              <w:t>Everything below operates in ADVISORY mode. The worker may recommend investigation or quarantine candidates, but it must not isolate hosts or block traffic without a separate safety case, approval workflow, and rollback path. The trained network already marks the response layer ADVISORY and the hard gate as fixed configuration.</w:t>
            </w:r>
          </w:p>
        </w:tc>
      </w:tr>
    </w:tbl>
    <w:p>
      <w:pPr>
        <w:spacing w:after="0" w:before="0"/>
      </w:pPr>
      <w:r>
        <w:rPr>
          <w:sz w:val="12"/>
        </w:rPr>
      </w:r>
    </w:p>
    <w:p>
      <w:pPr>
        <w:keepNext/>
        <w:spacing w:before="320" w:after="40"/>
        <w:pBdr>
          <w:bottom w:val="single" w:sz="10" w:space="4" w:color="0E7C86"/>
        </w:pBdr>
      </w:pPr>
      <w:r>
        <w:rPr>
          <w:rFonts w:ascii="Calibri" w:hAnsi="Calibri"/>
          <w:b/>
          <w:color w:val="0E7C86"/>
          <w:sz w:val="34"/>
        </w:rPr>
        <w:t xml:space="preserve">2  </w:t>
      </w:r>
      <w:r>
        <w:rPr>
          <w:rFonts w:ascii="Calibri" w:hAnsi="Calibri"/>
          <w:b/>
          <w:color w:val="102A54"/>
          <w:sz w:val="34"/>
        </w:rPr>
        <w:t>Prerequisites — the trained package and runtime</w:t>
      </w:r>
    </w:p>
    <w:p>
      <w:pPr>
        <w:pStyle w:val="ListBullet"/>
        <w:spacing w:after="60" w:line="269" w:lineRule="auto"/>
        <w:ind w:left="403"/>
      </w:pPr>
      <w:r>
        <w:rPr>
          <w:rFonts w:ascii="Calibri" w:hAnsi="Calibri"/>
          <w:b/>
          <w:i w:val="0"/>
          <w:color w:val="141B2E"/>
          <w:sz w:val="21"/>
        </w:rPr>
        <w:t>A trained network</w:t>
      </w:r>
      <w:r>
        <w:rPr>
          <w:rFonts w:ascii="Calibri" w:hAnsi="Calibri"/>
          <w:i w:val="0"/>
          <w:color w:val="141B2E"/>
          <w:sz w:val="21"/>
        </w:rPr>
        <w:t xml:space="preserve"> from the Training Guide — the artifact directory containing </w:t>
      </w:r>
      <w:r>
        <w:rPr>
          <w:rFonts w:ascii="Consolas" w:hAnsi="Consolas"/>
          <w:color w:val="102A54"/>
          <w:sz w:val="20"/>
        </w:rPr>
        <w:t>model-descriptor.json</w:t>
      </w:r>
      <w:r>
        <w:rPr>
          <w:rFonts w:ascii="Calibri" w:hAnsi="Calibri"/>
          <w:i w:val="0"/>
          <w:color w:val="141B2E"/>
          <w:sz w:val="21"/>
        </w:rPr>
        <w:t xml:space="preserve">, </w:t>
      </w:r>
      <w:r>
        <w:rPr>
          <w:rFonts w:ascii="Consolas" w:hAnsi="Consolas"/>
          <w:color w:val="102A54"/>
          <w:sz w:val="20"/>
        </w:rPr>
        <w:t>layer-0.json</w:t>
      </w:r>
      <w:r>
        <w:rPr>
          <w:rFonts w:ascii="Calibri" w:hAnsi="Calibri"/>
          <w:i w:val="0"/>
          <w:color w:val="141B2E"/>
          <w:sz w:val="21"/>
        </w:rPr>
        <w:t xml:space="preserve"> … </w:t>
      </w:r>
      <w:r>
        <w:rPr>
          <w:rFonts w:ascii="Consolas" w:hAnsi="Consolas"/>
          <w:color w:val="102A54"/>
          <w:sz w:val="20"/>
        </w:rPr>
        <w:t>result-layer.json</w:t>
      </w:r>
      <w:r>
        <w:rPr>
          <w:rFonts w:ascii="Calibri" w:hAnsi="Calibri"/>
          <w:i w:val="0"/>
          <w:color w:val="141B2E"/>
          <w:sz w:val="21"/>
        </w:rPr>
        <w:t xml:space="preserve">, and </w:t>
      </w:r>
      <w:r>
        <w:rPr>
          <w:rFonts w:ascii="Consolas" w:hAnsi="Consolas"/>
          <w:color w:val="102A54"/>
          <w:sz w:val="20"/>
        </w:rPr>
        <w:t>trained-temporal-threat-model.json</w:t>
      </w:r>
      <w:r>
        <w:rPr>
          <w:rFonts w:ascii="Calibri" w:hAnsi="Calibri"/>
          <w:i w:val="0"/>
          <w:color w:val="141B2E"/>
          <w:sz w:val="21"/>
        </w:rPr>
        <w:t>.</w:t>
      </w:r>
    </w:p>
    <w:p>
      <w:pPr>
        <w:pStyle w:val="ListBullet"/>
        <w:spacing w:after="60" w:line="269" w:lineRule="auto"/>
        <w:ind w:left="403"/>
      </w:pPr>
      <w:r>
        <w:rPr>
          <w:rFonts w:ascii="Calibri" w:hAnsi="Calibri"/>
          <w:b/>
          <w:i w:val="0"/>
          <w:color w:val="141B2E"/>
          <w:sz w:val="21"/>
        </w:rPr>
        <w:t>Java 17+</w:t>
      </w:r>
      <w:r>
        <w:rPr>
          <w:rFonts w:ascii="Calibri" w:hAnsi="Calibri"/>
          <w:i w:val="0"/>
          <w:color w:val="141B2E"/>
          <w:sz w:val="21"/>
        </w:rPr>
        <w:t xml:space="preserve"> to run the worker, and the built </w:t>
      </w:r>
      <w:r>
        <w:rPr>
          <w:rFonts w:ascii="Consolas" w:hAnsi="Consolas"/>
          <w:color w:val="102A54"/>
          <w:sz w:val="20"/>
        </w:rPr>
        <w:t>worker</w:t>
      </w:r>
      <w:r>
        <w:rPr>
          <w:rFonts w:ascii="Calibri" w:hAnsi="Calibri"/>
          <w:i w:val="0"/>
          <w:color w:val="141B2E"/>
          <w:sz w:val="21"/>
        </w:rPr>
        <w:t xml:space="preserve"> artifact (</w:t>
      </w:r>
      <w:r>
        <w:rPr>
          <w:rFonts w:ascii="Consolas" w:hAnsi="Consolas"/>
          <w:color w:val="102A54"/>
          <w:sz w:val="20"/>
        </w:rPr>
        <w:t>mvn clean install</w:t>
      </w:r>
      <w:r>
        <w:rPr>
          <w:rFonts w:ascii="Calibri" w:hAnsi="Calibri"/>
          <w:i w:val="0"/>
          <w:color w:val="141B2E"/>
          <w:sz w:val="21"/>
        </w:rPr>
        <w:t>).</w:t>
      </w:r>
    </w:p>
    <w:p>
      <w:pPr>
        <w:pStyle w:val="ListBullet"/>
        <w:spacing w:after="60" w:line="269" w:lineRule="auto"/>
        <w:ind w:left="403"/>
      </w:pPr>
      <w:r>
        <w:rPr>
          <w:rFonts w:ascii="Calibri" w:hAnsi="Calibri"/>
          <w:b/>
          <w:i w:val="0"/>
          <w:color w:val="141B2E"/>
          <w:sz w:val="21"/>
        </w:rPr>
        <w:t>Your telemetry source</w:t>
      </w:r>
      <w:r>
        <w:rPr>
          <w:rFonts w:ascii="Calibri" w:hAnsi="Calibri"/>
          <w:i w:val="0"/>
          <w:color w:val="141B2E"/>
          <w:sz w:val="21"/>
        </w:rPr>
        <w:t xml:space="preserve"> — a Kafka-style event bus (or any feed you can adapt to typed signals).</w:t>
      </w:r>
    </w:p>
    <w:p>
      <w:pPr>
        <w:pStyle w:val="ListBullet"/>
        <w:spacing w:after="60" w:line="269" w:lineRule="auto"/>
        <w:ind w:left="403"/>
      </w:pPr>
      <w:r>
        <w:rPr>
          <w:rFonts w:ascii="Calibri" w:hAnsi="Calibri"/>
          <w:b/>
          <w:i w:val="0"/>
          <w:color w:val="141B2E"/>
          <w:sz w:val="21"/>
        </w:rPr>
        <w:t>An output destination</w:t>
      </w:r>
      <w:r>
        <w:rPr>
          <w:rFonts w:ascii="Calibri" w:hAnsi="Calibri"/>
          <w:i w:val="0"/>
          <w:color w:val="141B2E"/>
          <w:sz w:val="21"/>
        </w:rPr>
        <w:t xml:space="preserve"> — a JSONL sink for shadow mode, or your SIEM / Kafka topic / webhook for operator-visible advisory.</w:t>
      </w:r>
    </w:p>
    <w:tbl>
      <w:tblPr>
        <w:tblW w:type="auto" w:w="0"/>
        <w:jc w:val="center"/>
        <w:tblLook w:firstColumn="1" w:firstRow="1" w:lastColumn="0" w:lastRow="0" w:noHBand="0" w:noVBand="1" w:val="04A0"/>
        <w:tblBorders>
          <w:top w:val="single" w:sz="4" w:space="0" w:color="EAF1F9"/>
          <w:left w:val="single" w:sz="4" w:space="0" w:color="EAF1F9"/>
          <w:bottom w:val="single" w:sz="4" w:space="0" w:color="EAF1F9"/>
          <w:right w:val="single" w:sz="4" w:space="0" w:color="EAF1F9"/>
          <w:insideH w:val="single" w:sz="4" w:space="0" w:color="EAF1F9"/>
          <w:insideV w:val="single" w:sz="4" w:space="0" w:color="EAF1F9"/>
        </w:tblBorders>
      </w:tblPr>
      <w:tblGrid>
        <w:gridCol w:w="9173"/>
      </w:tblGrid>
      <w:tr>
        <w:tc>
          <w:tcPr>
            <w:tcW w:type="dxa" w:w="9173"/>
            <w:shd w:val="clear" w:color="auto" w:fill="EAF1F9"/>
            <w:tcMar>
              <w:top w:w="120" w:type="dxa"/>
              <w:bottom w:w="120" w:type="dxa"/>
              <w:start w:w="160" w:type="dxa"/>
              <w:end w:w="160" w:type="dxa"/>
            </w:tcMar>
            <w:tcBorders>
              <w:left w:val="single" w:sz="24" w:space="0" w:color="1C5D99"/>
            </w:tcBorders>
          </w:tcPr>
          <w:p>
            <w:pPr>
              <w:spacing w:after="60"/>
            </w:pPr>
            <w:r>
              <w:rPr>
                <w:rFonts w:ascii="Calibri" w:hAnsi="Calibri"/>
                <w:b/>
                <w:color w:val="1C5D99"/>
                <w:sz w:val="21"/>
              </w:rPr>
              <w:t>Training first</w:t>
            </w:r>
          </w:p>
          <w:p>
            <w:pPr>
              <w:spacing w:after="0"/>
            </w:pPr>
            <w:r>
              <w:rPr>
                <w:rFonts w:ascii="Calibri" w:hAnsi="Calibri"/>
                <w:i w:val="0"/>
                <w:color w:val="141B2E"/>
                <w:sz w:val="20"/>
              </w:rPr>
              <w:t>If you do not yet have a trained network, run the companion Training Guide. Deployment consumes its output directory directly — there is no manual translation step between training and deployment.</w:t>
            </w:r>
          </w:p>
        </w:tc>
      </w:tr>
    </w:tbl>
    <w:p>
      <w:pPr>
        <w:spacing w:after="0" w:before="0"/>
      </w:pPr>
      <w:r>
        <w:rPr>
          <w:sz w:val="12"/>
        </w:rPr>
      </w:r>
    </w:p>
    <w:p>
      <w:pPr>
        <w:keepNext/>
        <w:spacing w:before="320" w:after="40"/>
        <w:pBdr>
          <w:bottom w:val="single" w:sz="10" w:space="4" w:color="0E7C86"/>
        </w:pBdr>
      </w:pPr>
      <w:r>
        <w:rPr>
          <w:rFonts w:ascii="Calibri" w:hAnsi="Calibri"/>
          <w:b/>
          <w:color w:val="0E7C86"/>
          <w:sz w:val="34"/>
        </w:rPr>
        <w:t xml:space="preserve">3  </w:t>
      </w:r>
      <w:r>
        <w:rPr>
          <w:rFonts w:ascii="Calibri" w:hAnsi="Calibri"/>
          <w:b/>
          <w:color w:val="102A54"/>
          <w:sz w:val="34"/>
        </w:rPr>
        <w:t>The launch architecture</w:t>
      </w:r>
    </w:p>
    <w:p>
      <w:pPr>
        <w:spacing w:after="120"/>
      </w:pPr>
      <w:r>
        <w:rPr>
          <w:rFonts w:ascii="Calibri" w:hAnsi="Calibri"/>
          <w:i w:val="0"/>
          <w:color w:val="141B2E"/>
          <w:sz w:val="21"/>
        </w:rPr>
        <w:t>A production deployment uses the worker's real entry point — the architecture intends you to supply your own JAR, the trained network, configuration, and event sources. The worker is started by one entry point with four arguments: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173"/>
      </w:tblGrid>
      <w:tr>
        <w:tc>
          <w:tcPr>
            <w:tcW w:type="dxa" w:w="9173"/>
            <w:shd w:val="clear" w:color="auto" w:fill="0E1A2B"/>
            <w:tcMar>
              <w:top w:w="90" w:type="dxa"/>
              <w:bottom w:w="90" w:type="dxa"/>
              <w:start w:w="140" w:type="dxa"/>
              <w:end w:w="140" w:type="dxa"/>
            </w:tcMar>
          </w:tcPr>
          <w:p>
            <w:pPr>
              <w:spacing w:after="0" w:line="254" w:lineRule="auto"/>
            </w:pPr>
            <w:r>
              <w:rPr>
                <w:rFonts w:ascii="Consolas" w:hAnsi="Consolas"/>
                <w:color w:val="D6E7C8"/>
                <w:sz w:val="18"/>
              </w:rPr>
              <w:t>java com.rakovpublic.jneuropallium.worker.application.Entry \</w:t>
            </w:r>
          </w:p>
          <w:p>
            <w:pPr>
              <w:spacing w:after="0" w:line="254" w:lineRule="auto"/>
            </w:pPr>
            <w:r>
              <w:rPr>
                <w:rFonts w:ascii="Consolas" w:hAnsi="Consolas"/>
                <w:color w:val="D6E7C8"/>
                <w:sz w:val="18"/>
              </w:rPr>
              <w:t xml:space="preserve">    &lt;mode&gt; &lt;model-jar-url&gt; &lt;context-class&gt; &lt;context-json-or-path&gt;</w:t>
            </w:r>
          </w:p>
        </w:tc>
      </w:tr>
    </w:tbl>
    <w:p>
      <w:pPr>
        <w:spacing w:after="0" w:before="0"/>
      </w:pPr>
      <w:r>
        <w:rPr>
          <w:sz w:val="8"/>
        </w:rPr>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3058"/>
        <w:gridCol w:w="3058"/>
        <w:gridCol w:w="3058"/>
      </w:tblGrid>
      <w:tr>
        <w:tc>
          <w:tcPr>
            <w:tcW w:type="dxa" w:w="2736"/>
            <w:shd w:val="clear" w:color="auto" w:fill="0E7C86"/>
            <w:tcMar>
              <w:top w:w="60" w:type="dxa"/>
              <w:bottom w:w="60" w:type="dxa"/>
              <w:start w:w="110" w:type="dxa"/>
              <w:end w:w="110" w:type="dxa"/>
            </w:tcMar>
            <w:vAlign w:val="center"/>
          </w:tcPr>
          <w:p>
            <w:pPr>
              <w:spacing w:after="0"/>
            </w:pPr>
            <w:r>
              <w:rPr>
                <w:rFonts w:ascii="Calibri" w:hAnsi="Calibri"/>
                <w:b/>
                <w:color w:val="FFFFFF"/>
                <w:sz w:val="19"/>
              </w:rPr>
              <w:t>Argument</w:t>
            </w:r>
          </w:p>
        </w:tc>
        <w:tc>
          <w:tcPr>
            <w:tcW w:type="dxa" w:w="3744"/>
            <w:shd w:val="clear" w:color="auto" w:fill="0E7C86"/>
            <w:tcMar>
              <w:top w:w="60" w:type="dxa"/>
              <w:bottom w:w="60" w:type="dxa"/>
              <w:start w:w="110" w:type="dxa"/>
              <w:end w:w="110" w:type="dxa"/>
            </w:tcMar>
            <w:vAlign w:val="center"/>
          </w:tcPr>
          <w:p>
            <w:pPr>
              <w:spacing w:after="0"/>
            </w:pPr>
            <w:r>
              <w:rPr>
                <w:rFonts w:ascii="Calibri" w:hAnsi="Calibri"/>
                <w:b/>
                <w:color w:val="FFFFFF"/>
                <w:sz w:val="19"/>
              </w:rPr>
              <w:t>Meaning</w:t>
            </w:r>
          </w:p>
        </w:tc>
        <w:tc>
          <w:tcPr>
            <w:tcW w:type="dxa" w:w="3312"/>
            <w:shd w:val="clear" w:color="auto" w:fill="0E7C86"/>
            <w:tcMar>
              <w:top w:w="60" w:type="dxa"/>
              <w:bottom w:w="60" w:type="dxa"/>
              <w:start w:w="110" w:type="dxa"/>
              <w:end w:w="110" w:type="dxa"/>
            </w:tcMar>
            <w:vAlign w:val="center"/>
          </w:tcPr>
          <w:p>
            <w:pPr>
              <w:spacing w:after="0"/>
            </w:pPr>
            <w:r>
              <w:rPr>
                <w:rFonts w:ascii="Calibri" w:hAnsi="Calibri"/>
                <w:b/>
                <w:color w:val="FFFFFF"/>
                <w:sz w:val="19"/>
              </w:rPr>
              <w:t>Example</w:t>
            </w:r>
          </w:p>
        </w:tc>
      </w:tr>
      <w:tr>
        <w:tc>
          <w:tcPr>
            <w:tcW w:type="dxa" w:w="2736"/>
            <w:shd w:val="clear" w:color="auto" w:fill="F4F7FB"/>
            <w:tcMar>
              <w:top w:w="60" w:type="dxa"/>
              <w:bottom w:w="60" w:type="dxa"/>
              <w:start w:w="110" w:type="dxa"/>
              <w:end w:w="110" w:type="dxa"/>
            </w:tcMar>
            <w:vAlign w:val="center"/>
          </w:tcPr>
          <w:p>
            <w:pPr>
              <w:spacing w:after="0" w:line="252" w:lineRule="auto"/>
            </w:pPr>
            <w:r>
              <w:rPr>
                <w:rFonts w:ascii="Consolas" w:hAnsi="Consolas"/>
                <w:color w:val="102A54"/>
                <w:sz w:val="18"/>
              </w:rPr>
              <w:t>mode</w:t>
            </w:r>
          </w:p>
        </w:tc>
        <w:tc>
          <w:tcPr>
            <w:tcW w:type="dxa" w:w="374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Deployment topology</w:t>
            </w:r>
          </w:p>
        </w:tc>
        <w:tc>
          <w:tcPr>
            <w:tcW w:type="dxa" w:w="3312"/>
            <w:shd w:val="clear" w:color="auto" w:fill="F4F7FB"/>
            <w:tcMar>
              <w:top w:w="60" w:type="dxa"/>
              <w:bottom w:w="60" w:type="dxa"/>
              <w:start w:w="110" w:type="dxa"/>
              <w:end w:w="110" w:type="dxa"/>
            </w:tcMar>
            <w:vAlign w:val="center"/>
          </w:tcPr>
          <w:p>
            <w:pPr>
              <w:spacing w:after="0" w:line="252" w:lineRule="auto"/>
            </w:pPr>
            <w:r>
              <w:rPr>
                <w:rFonts w:ascii="Consolas" w:hAnsi="Consolas"/>
                <w:color w:val="102A54"/>
                <w:sz w:val="18"/>
              </w:rPr>
              <w:t>local</w:t>
            </w:r>
            <w:r>
              <w:rPr>
                <w:rFonts w:ascii="Calibri" w:hAnsi="Calibri"/>
                <w:i w:val="0"/>
                <w:color w:val="141B2E"/>
                <w:sz w:val="19"/>
              </w:rPr>
              <w:t xml:space="preserve">, </w:t>
            </w:r>
            <w:r>
              <w:rPr>
                <w:rFonts w:ascii="Consolas" w:hAnsi="Consolas"/>
                <w:color w:val="102A54"/>
                <w:sz w:val="18"/>
              </w:rPr>
              <w:t>http</w:t>
            </w:r>
            <w:r>
              <w:rPr>
                <w:rFonts w:ascii="Calibri" w:hAnsi="Calibri"/>
                <w:i w:val="0"/>
                <w:color w:val="141B2E"/>
                <w:sz w:val="19"/>
              </w:rPr>
              <w:t xml:space="preserve">, </w:t>
            </w:r>
            <w:r>
              <w:rPr>
                <w:rFonts w:ascii="Consolas" w:hAnsi="Consolas"/>
                <w:color w:val="102A54"/>
                <w:sz w:val="18"/>
              </w:rPr>
              <w:t>grpc-client</w:t>
            </w:r>
            <w:r>
              <w:rPr>
                <w:rFonts w:ascii="Calibri" w:hAnsi="Calibri"/>
                <w:i w:val="0"/>
                <w:color w:val="141B2E"/>
                <w:sz w:val="19"/>
              </w:rPr>
              <w:t xml:space="preserve">, </w:t>
            </w:r>
            <w:r>
              <w:rPr>
                <w:rFonts w:ascii="Consolas" w:hAnsi="Consolas"/>
                <w:color w:val="102A54"/>
                <w:sz w:val="18"/>
              </w:rPr>
              <w:t>grpc-master</w:t>
            </w:r>
          </w:p>
        </w:tc>
      </w:tr>
      <w:tr>
        <w:tc>
          <w:tcPr>
            <w:tcW w:type="dxa" w:w="2736"/>
            <w:shd w:val="clear" w:color="auto" w:fill="FFFFFF"/>
            <w:tcMar>
              <w:top w:w="60" w:type="dxa"/>
              <w:bottom w:w="60" w:type="dxa"/>
              <w:start w:w="110" w:type="dxa"/>
              <w:end w:w="110" w:type="dxa"/>
            </w:tcMar>
            <w:vAlign w:val="center"/>
          </w:tcPr>
          <w:p>
            <w:pPr>
              <w:spacing w:after="0" w:line="252" w:lineRule="auto"/>
            </w:pPr>
            <w:r>
              <w:rPr>
                <w:rFonts w:ascii="Consolas" w:hAnsi="Consolas"/>
                <w:color w:val="102A54"/>
                <w:sz w:val="18"/>
              </w:rPr>
              <w:t>model-jar-url</w:t>
            </w:r>
          </w:p>
        </w:tc>
        <w:tc>
          <w:tcPr>
            <w:tcW w:type="dxa" w:w="374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URL of your deployment JAR</w:t>
            </w:r>
          </w:p>
        </w:tc>
        <w:tc>
          <w:tcPr>
            <w:tcW w:type="dxa" w:w="3312"/>
            <w:shd w:val="clear" w:color="auto" w:fill="FFFFFF"/>
            <w:tcMar>
              <w:top w:w="60" w:type="dxa"/>
              <w:bottom w:w="60" w:type="dxa"/>
              <w:start w:w="110" w:type="dxa"/>
              <w:end w:w="110" w:type="dxa"/>
            </w:tcMar>
            <w:vAlign w:val="center"/>
          </w:tcPr>
          <w:p>
            <w:pPr>
              <w:spacing w:after="0" w:line="252" w:lineRule="auto"/>
            </w:pPr>
            <w:r>
              <w:rPr>
                <w:rFonts w:ascii="Consolas" w:hAnsi="Consolas"/>
                <w:color w:val="102A54"/>
                <w:sz w:val="18"/>
              </w:rPr>
              <w:t>file:///opt/jneo/cyber-model.jar</w:t>
            </w:r>
          </w:p>
        </w:tc>
      </w:tr>
      <w:tr>
        <w:tc>
          <w:tcPr>
            <w:tcW w:type="dxa" w:w="2736"/>
            <w:shd w:val="clear" w:color="auto" w:fill="F4F7FB"/>
            <w:tcMar>
              <w:top w:w="60" w:type="dxa"/>
              <w:bottom w:w="60" w:type="dxa"/>
              <w:start w:w="110" w:type="dxa"/>
              <w:end w:w="110" w:type="dxa"/>
            </w:tcMar>
            <w:vAlign w:val="center"/>
          </w:tcPr>
          <w:p>
            <w:pPr>
              <w:spacing w:after="0" w:line="252" w:lineRule="auto"/>
            </w:pPr>
            <w:r>
              <w:rPr>
                <w:rFonts w:ascii="Consolas" w:hAnsi="Consolas"/>
                <w:color w:val="102A54"/>
                <w:sz w:val="18"/>
              </w:rPr>
              <w:t>context-class</w:t>
            </w:r>
          </w:p>
        </w:tc>
        <w:tc>
          <w:tcPr>
            <w:tcW w:type="dxa" w:w="374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 xml:space="preserve">An </w:t>
            </w:r>
            <w:r>
              <w:rPr>
                <w:rFonts w:ascii="Consolas" w:hAnsi="Consolas"/>
                <w:color w:val="102A54"/>
                <w:sz w:val="18"/>
              </w:rPr>
              <w:t>IContext</w:t>
            </w:r>
            <w:r>
              <w:rPr>
                <w:rFonts w:ascii="Calibri" w:hAnsi="Calibri"/>
                <w:i w:val="0"/>
                <w:color w:val="141B2E"/>
                <w:sz w:val="19"/>
              </w:rPr>
              <w:t xml:space="preserve"> implementation</w:t>
            </w:r>
          </w:p>
        </w:tc>
        <w:tc>
          <w:tcPr>
            <w:tcW w:type="dxa" w:w="3312"/>
            <w:shd w:val="clear" w:color="auto" w:fill="F4F7FB"/>
            <w:tcMar>
              <w:top w:w="60" w:type="dxa"/>
              <w:bottom w:w="60" w:type="dxa"/>
              <w:start w:w="110" w:type="dxa"/>
              <w:end w:w="110" w:type="dxa"/>
            </w:tcMar>
            <w:vAlign w:val="center"/>
          </w:tcPr>
          <w:p>
            <w:pPr>
              <w:spacing w:after="0" w:line="252" w:lineRule="auto"/>
            </w:pPr>
            <w:r>
              <w:rPr>
                <w:rFonts w:ascii="Consolas" w:hAnsi="Consolas"/>
                <w:color w:val="102A54"/>
                <w:sz w:val="18"/>
              </w:rPr>
              <w:t>…runtime.DemoJsonContext</w:t>
            </w:r>
          </w:p>
        </w:tc>
      </w:tr>
      <w:tr>
        <w:tc>
          <w:tcPr>
            <w:tcW w:type="dxa" w:w="2736"/>
            <w:shd w:val="clear" w:color="auto" w:fill="FFFFFF"/>
            <w:tcMar>
              <w:top w:w="60" w:type="dxa"/>
              <w:bottom w:w="60" w:type="dxa"/>
              <w:start w:w="110" w:type="dxa"/>
              <w:end w:w="110" w:type="dxa"/>
            </w:tcMar>
            <w:vAlign w:val="center"/>
          </w:tcPr>
          <w:p>
            <w:pPr>
              <w:spacing w:after="0" w:line="252" w:lineRule="auto"/>
            </w:pPr>
            <w:r>
              <w:rPr>
                <w:rFonts w:ascii="Consolas" w:hAnsi="Consolas"/>
                <w:color w:val="102A54"/>
                <w:sz w:val="18"/>
              </w:rPr>
              <w:t>context-json-or-path</w:t>
            </w:r>
          </w:p>
        </w:tc>
        <w:tc>
          <w:tcPr>
            <w:tcW w:type="dxa" w:w="374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Inline JSON or a path to a JSON config file</w:t>
            </w:r>
          </w:p>
        </w:tc>
        <w:tc>
          <w:tcPr>
            <w:tcW w:type="dxa" w:w="3312"/>
            <w:shd w:val="clear" w:color="auto" w:fill="FFFFFF"/>
            <w:tcMar>
              <w:top w:w="60" w:type="dxa"/>
              <w:bottom w:w="60" w:type="dxa"/>
              <w:start w:w="110" w:type="dxa"/>
              <w:end w:w="110" w:type="dxa"/>
            </w:tcMar>
            <w:vAlign w:val="center"/>
          </w:tcPr>
          <w:p>
            <w:pPr>
              <w:spacing w:after="0" w:line="252" w:lineRule="auto"/>
            </w:pPr>
            <w:r>
              <w:rPr>
                <w:rFonts w:ascii="Consolas" w:hAnsi="Consolas"/>
                <w:color w:val="102A54"/>
                <w:sz w:val="18"/>
              </w:rPr>
              <w:t>/opt/jneo/cyber-context.json</w:t>
            </w:r>
          </w:p>
        </w:tc>
      </w:tr>
    </w:tbl>
    <w:p>
      <w:pPr>
        <w:spacing w:after="0" w:before="0"/>
      </w:pPr>
      <w:r>
        <w:rPr>
          <w:sz w:val="12"/>
        </w:rPr>
      </w:r>
    </w:p>
    <w:p>
      <w:pPr>
        <w:spacing w:after="120"/>
      </w:pPr>
      <w:r>
        <w:rPr>
          <w:rFonts w:ascii="Calibri" w:hAnsi="Calibri"/>
          <w:i w:val="0"/>
          <w:color w:val="141B2E"/>
          <w:sz w:val="21"/>
        </w:rPr>
        <w:t xml:space="preserve">Internally, </w:t>
      </w:r>
      <w:r>
        <w:rPr>
          <w:rFonts w:ascii="Consolas" w:hAnsi="Consolas"/>
          <w:color w:val="102A54"/>
          <w:sz w:val="20"/>
        </w:rPr>
        <w:t>Entry</w:t>
      </w:r>
      <w:r>
        <w:rPr>
          <w:rFonts w:ascii="Calibri" w:hAnsi="Calibri"/>
          <w:i w:val="0"/>
          <w:color w:val="141B2E"/>
          <w:sz w:val="21"/>
        </w:rPr>
        <w:t xml:space="preserve"> hands the four arguments to the </w:t>
      </w:r>
      <w:r>
        <w:rPr>
          <w:rFonts w:ascii="Consolas" w:hAnsi="Consolas"/>
          <w:color w:val="102A54"/>
          <w:sz w:val="20"/>
        </w:rPr>
        <w:t>Runner</w:t>
      </w:r>
      <w:r>
        <w:rPr>
          <w:rFonts w:ascii="Calibri" w:hAnsi="Calibri"/>
          <w:i w:val="0"/>
          <w:color w:val="141B2E"/>
          <w:sz w:val="21"/>
        </w:rPr>
        <w:t xml:space="preserve">, which: (1) deserialises the context JSON into your </w:t>
      </w:r>
      <w:r>
        <w:rPr>
          <w:rFonts w:ascii="Consolas" w:hAnsi="Consolas"/>
          <w:color w:val="102A54"/>
          <w:sz w:val="20"/>
        </w:rPr>
        <w:t>IContext</w:t>
      </w:r>
      <w:r>
        <w:rPr>
          <w:rFonts w:ascii="Calibri" w:hAnsi="Calibri"/>
          <w:i w:val="0"/>
          <w:color w:val="141B2E"/>
          <w:sz w:val="21"/>
        </w:rPr>
        <w:t xml:space="preserve"> class with Jackson; (2) loads the JAR into an isolated class loader (</w:t>
      </w:r>
      <w:r>
        <w:rPr>
          <w:rFonts w:ascii="Consolas" w:hAnsi="Consolas"/>
          <w:color w:val="102A54"/>
          <w:sz w:val="20"/>
        </w:rPr>
        <w:t>JarClassLoaderService</w:t>
      </w:r>
      <w:r>
        <w:rPr>
          <w:rFonts w:ascii="Calibri" w:hAnsi="Calibri"/>
          <w:i w:val="0"/>
          <w:color w:val="141B2E"/>
          <w:sz w:val="21"/>
        </w:rPr>
        <w:t xml:space="preserve">); (3) selects an application by </w:t>
      </w:r>
      <w:r>
        <w:rPr>
          <w:rFonts w:ascii="Consolas" w:hAnsi="Consolas"/>
          <w:color w:val="102A54"/>
          <w:sz w:val="20"/>
        </w:rPr>
        <w:t>mode</w:t>
      </w:r>
      <w:r>
        <w:rPr>
          <w:rFonts w:ascii="Calibri" w:hAnsi="Calibri"/>
          <w:i w:val="0"/>
          <w:color w:val="141B2E"/>
          <w:sz w:val="21"/>
        </w:rPr>
        <w:t>; and (4) starts it. The mode maps directly onto the deployment topologies from the architecture:</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3058"/>
        <w:gridCol w:w="3058"/>
        <w:gridCol w:w="3058"/>
      </w:tblGrid>
      <w:tr>
        <w:tc>
          <w:tcPr>
            <w:tcW w:type="dxa" w:w="3168"/>
            <w:shd w:val="clear" w:color="auto" w:fill="0E7C86"/>
            <w:tcMar>
              <w:top w:w="60" w:type="dxa"/>
              <w:bottom w:w="60" w:type="dxa"/>
              <w:start w:w="110" w:type="dxa"/>
              <w:end w:w="110" w:type="dxa"/>
            </w:tcMar>
            <w:vAlign w:val="center"/>
          </w:tcPr>
          <w:p>
            <w:pPr>
              <w:spacing w:after="0"/>
            </w:pPr>
            <w:r>
              <w:rPr>
                <w:rFonts w:ascii="Calibri" w:hAnsi="Calibri"/>
                <w:b/>
                <w:color w:val="FFFFFF"/>
                <w:sz w:val="19"/>
              </w:rPr>
              <w:t>Mode</w:t>
            </w:r>
          </w:p>
        </w:tc>
        <w:tc>
          <w:tcPr>
            <w:tcW w:type="dxa" w:w="3744"/>
            <w:shd w:val="clear" w:color="auto" w:fill="0E7C86"/>
            <w:tcMar>
              <w:top w:w="60" w:type="dxa"/>
              <w:bottom w:w="60" w:type="dxa"/>
              <w:start w:w="110" w:type="dxa"/>
              <w:end w:w="110" w:type="dxa"/>
            </w:tcMar>
            <w:vAlign w:val="center"/>
          </w:tcPr>
          <w:p>
            <w:pPr>
              <w:spacing w:after="0"/>
            </w:pPr>
            <w:r>
              <w:rPr>
                <w:rFonts w:ascii="Calibri" w:hAnsi="Calibri"/>
                <w:b/>
                <w:color w:val="FFFFFF"/>
                <w:sz w:val="19"/>
              </w:rPr>
              <w:t>Application</w:t>
            </w:r>
          </w:p>
        </w:tc>
        <w:tc>
          <w:tcPr>
            <w:tcW w:type="dxa" w:w="2880"/>
            <w:shd w:val="clear" w:color="auto" w:fill="0E7C86"/>
            <w:tcMar>
              <w:top w:w="60" w:type="dxa"/>
              <w:bottom w:w="60" w:type="dxa"/>
              <w:start w:w="110" w:type="dxa"/>
              <w:end w:w="110" w:type="dxa"/>
            </w:tcMar>
            <w:vAlign w:val="center"/>
          </w:tcPr>
          <w:p>
            <w:pPr>
              <w:spacing w:after="0"/>
            </w:pPr>
            <w:r>
              <w:rPr>
                <w:rFonts w:ascii="Calibri" w:hAnsi="Calibri"/>
                <w:b/>
                <w:color w:val="FFFFFF"/>
                <w:sz w:val="19"/>
              </w:rPr>
              <w:t>Topology</w:t>
            </w:r>
          </w:p>
        </w:tc>
      </w:tr>
      <w:tr>
        <w:tc>
          <w:tcPr>
            <w:tcW w:type="dxa" w:w="3168"/>
            <w:shd w:val="clear" w:color="auto" w:fill="F4F7FB"/>
            <w:tcMar>
              <w:top w:w="60" w:type="dxa"/>
              <w:bottom w:w="60" w:type="dxa"/>
              <w:start w:w="110" w:type="dxa"/>
              <w:end w:w="110" w:type="dxa"/>
            </w:tcMar>
            <w:vAlign w:val="center"/>
          </w:tcPr>
          <w:p>
            <w:pPr>
              <w:spacing w:after="0" w:line="252" w:lineRule="auto"/>
            </w:pPr>
            <w:r>
              <w:rPr>
                <w:rFonts w:ascii="Consolas" w:hAnsi="Consolas"/>
                <w:color w:val="102A54"/>
                <w:sz w:val="18"/>
              </w:rPr>
              <w:t>local</w:t>
            </w:r>
          </w:p>
        </w:tc>
        <w:tc>
          <w:tcPr>
            <w:tcW w:type="dxa" w:w="3744"/>
            <w:shd w:val="clear" w:color="auto" w:fill="F4F7FB"/>
            <w:tcMar>
              <w:top w:w="60" w:type="dxa"/>
              <w:bottom w:w="60" w:type="dxa"/>
              <w:start w:w="110" w:type="dxa"/>
              <w:end w:w="110" w:type="dxa"/>
            </w:tcMar>
            <w:vAlign w:val="center"/>
          </w:tcPr>
          <w:p>
            <w:pPr>
              <w:spacing w:after="0" w:line="252" w:lineRule="auto"/>
            </w:pPr>
            <w:r>
              <w:rPr>
                <w:rFonts w:ascii="Consolas" w:hAnsi="Consolas"/>
                <w:color w:val="102A54"/>
                <w:sz w:val="18"/>
              </w:rPr>
              <w:t>LocalApplication</w:t>
            </w:r>
          </w:p>
        </w:tc>
        <w:tc>
          <w:tcPr>
            <w:tcW w:type="dxa" w:w="288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Single JVM — pilots, edge sites</w:t>
            </w:r>
          </w:p>
        </w:tc>
      </w:tr>
      <w:tr>
        <w:tc>
          <w:tcPr>
            <w:tcW w:type="dxa" w:w="3168"/>
            <w:shd w:val="clear" w:color="auto" w:fill="FFFFFF"/>
            <w:tcMar>
              <w:top w:w="60" w:type="dxa"/>
              <w:bottom w:w="60" w:type="dxa"/>
              <w:start w:w="110" w:type="dxa"/>
              <w:end w:w="110" w:type="dxa"/>
            </w:tcMar>
            <w:vAlign w:val="center"/>
          </w:tcPr>
          <w:p>
            <w:pPr>
              <w:spacing w:after="0" w:line="252" w:lineRule="auto"/>
            </w:pPr>
            <w:r>
              <w:rPr>
                <w:rFonts w:ascii="Consolas" w:hAnsi="Consolas"/>
                <w:color w:val="102A54"/>
                <w:sz w:val="18"/>
              </w:rPr>
              <w:t>http</w:t>
            </w:r>
          </w:p>
        </w:tc>
        <w:tc>
          <w:tcPr>
            <w:tcW w:type="dxa" w:w="3744"/>
            <w:shd w:val="clear" w:color="auto" w:fill="FFFFFF"/>
            <w:tcMar>
              <w:top w:w="60" w:type="dxa"/>
              <w:bottom w:w="60" w:type="dxa"/>
              <w:start w:w="110" w:type="dxa"/>
              <w:end w:w="110" w:type="dxa"/>
            </w:tcMar>
            <w:vAlign w:val="center"/>
          </w:tcPr>
          <w:p>
            <w:pPr>
              <w:spacing w:after="0" w:line="252" w:lineRule="auto"/>
            </w:pPr>
            <w:r>
              <w:rPr>
                <w:rFonts w:ascii="Consolas" w:hAnsi="Consolas"/>
                <w:color w:val="102A54"/>
                <w:sz w:val="18"/>
              </w:rPr>
              <w:t>HttpClusterApplication</w:t>
            </w:r>
          </w:p>
        </w:tc>
        <w:tc>
          <w:tcPr>
            <w:tcW w:type="dxa" w:w="288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Distributed worker nodes over HTTP</w:t>
            </w:r>
          </w:p>
        </w:tc>
      </w:tr>
      <w:tr>
        <w:tc>
          <w:tcPr>
            <w:tcW w:type="dxa" w:w="3168"/>
            <w:shd w:val="clear" w:color="auto" w:fill="F4F7FB"/>
            <w:tcMar>
              <w:top w:w="60" w:type="dxa"/>
              <w:bottom w:w="60" w:type="dxa"/>
              <w:start w:w="110" w:type="dxa"/>
              <w:end w:w="110" w:type="dxa"/>
            </w:tcMar>
            <w:vAlign w:val="center"/>
          </w:tcPr>
          <w:p>
            <w:pPr>
              <w:spacing w:after="0" w:line="252" w:lineRule="auto"/>
            </w:pPr>
            <w:r>
              <w:rPr>
                <w:rFonts w:ascii="Consolas" w:hAnsi="Consolas"/>
                <w:color w:val="102A54"/>
                <w:sz w:val="18"/>
              </w:rPr>
              <w:t>grpc-master</w:t>
            </w:r>
            <w:r>
              <w:rPr>
                <w:rFonts w:ascii="Calibri" w:hAnsi="Calibri"/>
                <w:i w:val="0"/>
                <w:color w:val="141B2E"/>
                <w:sz w:val="19"/>
              </w:rPr>
              <w:t xml:space="preserve"> / </w:t>
            </w:r>
            <w:r>
              <w:rPr>
                <w:rFonts w:ascii="Consolas" w:hAnsi="Consolas"/>
                <w:color w:val="102A54"/>
                <w:sz w:val="18"/>
              </w:rPr>
              <w:t>grpc-client</w:t>
            </w:r>
          </w:p>
        </w:tc>
        <w:tc>
          <w:tcPr>
            <w:tcW w:type="dxa" w:w="3744"/>
            <w:shd w:val="clear" w:color="auto" w:fill="F4F7FB"/>
            <w:tcMar>
              <w:top w:w="60" w:type="dxa"/>
              <w:bottom w:w="60" w:type="dxa"/>
              <w:start w:w="110" w:type="dxa"/>
              <w:end w:w="110" w:type="dxa"/>
            </w:tcMar>
            <w:vAlign w:val="center"/>
          </w:tcPr>
          <w:p>
            <w:pPr>
              <w:spacing w:after="0" w:line="252" w:lineRule="auto"/>
            </w:pPr>
            <w:r>
              <w:rPr>
                <w:rFonts w:ascii="Consolas" w:hAnsi="Consolas"/>
                <w:color w:val="102A54"/>
                <w:sz w:val="18"/>
              </w:rPr>
              <w:t>GRPCServerApplication</w:t>
            </w:r>
            <w:r>
              <w:rPr>
                <w:rFonts w:ascii="Calibri" w:hAnsi="Calibri"/>
                <w:i w:val="0"/>
                <w:color w:val="141B2E"/>
                <w:sz w:val="19"/>
              </w:rPr>
              <w:t xml:space="preserve"> / </w:t>
            </w:r>
            <w:r>
              <w:rPr>
                <w:rFonts w:ascii="Consolas" w:hAnsi="Consolas"/>
                <w:color w:val="102A54"/>
                <w:sz w:val="18"/>
              </w:rPr>
              <w:t>GRPCClient</w:t>
            </w:r>
          </w:p>
        </w:tc>
        <w:tc>
          <w:tcPr>
            <w:tcW w:type="dxa" w:w="288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gRPC cluster; FPGA-capable</w:t>
            </w:r>
          </w:p>
        </w:tc>
      </w:tr>
    </w:tbl>
    <w:p>
      <w:pPr>
        <w:spacing w:after="0" w:before="0"/>
      </w:pPr>
      <w:r>
        <w:rPr>
          <w:sz w:val="12"/>
        </w:rPr>
      </w:r>
    </w:p>
    <w:tbl>
      <w:tblPr>
        <w:tblW w:type="auto" w:w="0"/>
        <w:jc w:val="center"/>
        <w:tblLook w:firstColumn="1" w:firstRow="1" w:lastColumn="0" w:lastRow="0" w:noHBand="0" w:noVBand="1" w:val="04A0"/>
        <w:tblBorders>
          <w:top w:val="single" w:sz="4" w:space="0" w:color="EAF1F9"/>
          <w:left w:val="single" w:sz="4" w:space="0" w:color="EAF1F9"/>
          <w:bottom w:val="single" w:sz="4" w:space="0" w:color="EAF1F9"/>
          <w:right w:val="single" w:sz="4" w:space="0" w:color="EAF1F9"/>
          <w:insideH w:val="single" w:sz="4" w:space="0" w:color="EAF1F9"/>
          <w:insideV w:val="single" w:sz="4" w:space="0" w:color="EAF1F9"/>
        </w:tblBorders>
      </w:tblPr>
      <w:tblGrid>
        <w:gridCol w:w="9173"/>
      </w:tblGrid>
      <w:tr>
        <w:tc>
          <w:tcPr>
            <w:tcW w:type="dxa" w:w="9173"/>
            <w:shd w:val="clear" w:color="auto" w:fill="EAF1F9"/>
            <w:tcMar>
              <w:top w:w="120" w:type="dxa"/>
              <w:bottom w:w="120" w:type="dxa"/>
              <w:start w:w="160" w:type="dxa"/>
              <w:end w:w="160" w:type="dxa"/>
            </w:tcMar>
            <w:tcBorders>
              <w:left w:val="single" w:sz="24" w:space="0" w:color="1C5D99"/>
            </w:tcBorders>
          </w:tcPr>
          <w:p>
            <w:pPr>
              <w:spacing w:after="60"/>
            </w:pPr>
            <w:r>
              <w:rPr>
                <w:rFonts w:ascii="Calibri" w:hAnsi="Calibri"/>
                <w:b/>
                <w:color w:val="1C5D99"/>
                <w:sz w:val="21"/>
              </w:rPr>
              <w:t>The four production ingredients</w:t>
            </w:r>
          </w:p>
          <w:p>
            <w:pPr>
              <w:spacing w:after="0"/>
            </w:pPr>
            <w:r>
              <w:rPr>
                <w:rFonts w:ascii="Calibri" w:hAnsi="Calibri"/>
                <w:i w:val="0"/>
                <w:color w:val="141B2E"/>
                <w:sz w:val="20"/>
              </w:rPr>
              <w:t xml:space="preserve">A deployment is exactly four things: (1) the </w:t>
            </w:r>
            <w:r>
              <w:rPr>
                <w:rFonts w:ascii="Calibri" w:hAnsi="Calibri"/>
                <w:b/>
                <w:i w:val="0"/>
                <w:color w:val="141B2E"/>
                <w:sz w:val="20"/>
              </w:rPr>
              <w:t>trained network</w:t>
            </w:r>
            <w:r>
              <w:rPr>
                <w:rFonts w:ascii="Calibri" w:hAnsi="Calibri"/>
                <w:i w:val="0"/>
                <w:color w:val="141B2E"/>
                <w:sz w:val="20"/>
              </w:rPr>
              <w:t xml:space="preserve"> (from training), (2) the </w:t>
            </w:r>
            <w:r>
              <w:rPr>
                <w:rFonts w:ascii="Calibri" w:hAnsi="Calibri"/>
                <w:b/>
                <w:i w:val="0"/>
                <w:color w:val="141B2E"/>
                <w:sz w:val="20"/>
              </w:rPr>
              <w:t>IContext configuration</w:t>
            </w:r>
            <w:r>
              <w:rPr>
                <w:rFonts w:ascii="Calibri" w:hAnsi="Calibri"/>
                <w:i w:val="0"/>
                <w:color w:val="141B2E"/>
                <w:sz w:val="20"/>
              </w:rPr>
              <w:t xml:space="preserve">, (3) a </w:t>
            </w:r>
            <w:r>
              <w:rPr>
                <w:rFonts w:ascii="Calibri" w:hAnsi="Calibri"/>
                <w:b/>
                <w:i w:val="0"/>
                <w:color w:val="141B2E"/>
                <w:sz w:val="20"/>
              </w:rPr>
              <w:t>deployment JAR</w:t>
            </w:r>
            <w:r>
              <w:rPr>
                <w:rFonts w:ascii="Calibri" w:hAnsi="Calibri"/>
                <w:i w:val="0"/>
                <w:color w:val="141B2E"/>
                <w:sz w:val="20"/>
              </w:rPr>
              <w:t xml:space="preserve"> (worker security classes plus your event source and sink), and (4) your </w:t>
            </w:r>
            <w:r>
              <w:rPr>
                <w:rFonts w:ascii="Calibri" w:hAnsi="Calibri"/>
                <w:b/>
                <w:i w:val="0"/>
                <w:color w:val="141B2E"/>
                <w:sz w:val="20"/>
              </w:rPr>
              <w:t>event sources and output sink</w:t>
            </w:r>
            <w:r>
              <w:rPr>
                <w:rFonts w:ascii="Calibri" w:hAnsi="Calibri"/>
                <w:i w:val="0"/>
                <w:color w:val="141B2E"/>
                <w:sz w:val="20"/>
              </w:rPr>
              <w:t>. The next sections wire each one.</w:t>
            </w:r>
          </w:p>
        </w:tc>
      </w:tr>
    </w:tbl>
    <w:p>
      <w:pPr>
        <w:spacing w:after="0" w:before="0"/>
      </w:pPr>
      <w:r>
        <w:rPr>
          <w:sz w:val="12"/>
        </w:rPr>
      </w:r>
    </w:p>
    <w:p>
      <w:pPr>
        <w:keepNext/>
        <w:spacing w:before="320" w:after="40"/>
        <w:pBdr>
          <w:bottom w:val="single" w:sz="10" w:space="4" w:color="0E7C86"/>
        </w:pBdr>
      </w:pPr>
      <w:r>
        <w:rPr>
          <w:rFonts w:ascii="Calibri" w:hAnsi="Calibri"/>
          <w:b/>
          <w:color w:val="0E7C86"/>
          <w:sz w:val="34"/>
        </w:rPr>
        <w:t xml:space="preserve">4  </w:t>
      </w:r>
      <w:r>
        <w:rPr>
          <w:rFonts w:ascii="Calibri" w:hAnsi="Calibri"/>
          <w:b/>
          <w:color w:val="102A54"/>
          <w:sz w:val="34"/>
        </w:rPr>
        <w:t>The deployable package (what training produced)</w:t>
      </w:r>
    </w:p>
    <w:p>
      <w:pPr>
        <w:spacing w:after="120"/>
      </w:pPr>
      <w:r>
        <w:rPr>
          <w:rFonts w:ascii="Calibri" w:hAnsi="Calibri"/>
          <w:i w:val="0"/>
          <w:color w:val="141B2E"/>
          <w:sz w:val="21"/>
        </w:rPr>
        <w:t xml:space="preserve">The trainer does not emit an abstract model that you must translate — it emits the </w:t>
      </w:r>
      <w:r>
        <w:rPr>
          <w:rFonts w:ascii="Calibri" w:hAnsi="Calibri"/>
          <w:b/>
          <w:i w:val="0"/>
          <w:color w:val="141B2E"/>
          <w:sz w:val="21"/>
        </w:rPr>
        <w:t>actual JNeopallium network</w:t>
      </w:r>
      <w:r>
        <w:rPr>
          <w:rFonts w:ascii="Calibri" w:hAnsi="Calibri"/>
          <w:i w:val="0"/>
          <w:color w:val="141B2E"/>
          <w:sz w:val="21"/>
        </w:rPr>
        <w:t>. The package is a directory of ten files; the five layer files plus the descriptor are what the worker boots from:</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4586"/>
        <w:gridCol w:w="4586"/>
      </w:tblGrid>
      <w:tr>
        <w:tc>
          <w:tcPr>
            <w:tcW w:type="dxa" w:w="4608"/>
            <w:shd w:val="clear" w:color="auto" w:fill="0E7C86"/>
            <w:tcMar>
              <w:top w:w="60" w:type="dxa"/>
              <w:bottom w:w="60" w:type="dxa"/>
              <w:start w:w="110" w:type="dxa"/>
              <w:end w:w="110" w:type="dxa"/>
            </w:tcMar>
            <w:vAlign w:val="center"/>
          </w:tcPr>
          <w:p>
            <w:pPr>
              <w:spacing w:after="0"/>
            </w:pPr>
            <w:r>
              <w:rPr>
                <w:rFonts w:ascii="Calibri" w:hAnsi="Calibri"/>
                <w:b/>
                <w:color w:val="FFFFFF"/>
                <w:sz w:val="19"/>
              </w:rPr>
              <w:t>Artifact</w:t>
            </w:r>
          </w:p>
        </w:tc>
        <w:tc>
          <w:tcPr>
            <w:tcW w:type="dxa" w:w="5184"/>
            <w:shd w:val="clear" w:color="auto" w:fill="0E7C86"/>
            <w:tcMar>
              <w:top w:w="60" w:type="dxa"/>
              <w:bottom w:w="60" w:type="dxa"/>
              <w:start w:w="110" w:type="dxa"/>
              <w:end w:w="110" w:type="dxa"/>
            </w:tcMar>
            <w:vAlign w:val="center"/>
          </w:tcPr>
          <w:p>
            <w:pPr>
              <w:spacing w:after="0"/>
            </w:pPr>
            <w:r>
              <w:rPr>
                <w:rFonts w:ascii="Calibri" w:hAnsi="Calibri"/>
                <w:b/>
                <w:color w:val="FFFFFF"/>
                <w:sz w:val="19"/>
              </w:rPr>
              <w:t>Role at deploy time</w:t>
            </w:r>
          </w:p>
        </w:tc>
      </w:tr>
      <w:tr>
        <w:tc>
          <w:tcPr>
            <w:tcW w:type="dxa" w:w="4608"/>
            <w:shd w:val="clear" w:color="auto" w:fill="F4F7FB"/>
            <w:tcMar>
              <w:top w:w="60" w:type="dxa"/>
              <w:bottom w:w="60" w:type="dxa"/>
              <w:start w:w="110" w:type="dxa"/>
              <w:end w:w="110" w:type="dxa"/>
            </w:tcMar>
            <w:vAlign w:val="center"/>
          </w:tcPr>
          <w:p>
            <w:pPr>
              <w:spacing w:after="0" w:line="252" w:lineRule="auto"/>
            </w:pPr>
            <w:r>
              <w:rPr>
                <w:rFonts w:ascii="Consolas" w:hAnsi="Consolas"/>
                <w:color w:val="102A54"/>
                <w:sz w:val="18"/>
              </w:rPr>
              <w:t>model-descriptor.json</w:t>
            </w:r>
          </w:p>
        </w:tc>
        <w:tc>
          <w:tcPr>
            <w:tcW w:type="dxa" w:w="518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Whole-network map: 5 layers, 8 neurons, frequency map, runtime classes</w:t>
            </w:r>
          </w:p>
        </w:tc>
      </w:tr>
      <w:tr>
        <w:tc>
          <w:tcPr>
            <w:tcW w:type="dxa" w:w="4608"/>
            <w:shd w:val="clear" w:color="auto" w:fill="FFFFFF"/>
            <w:tcMar>
              <w:top w:w="60" w:type="dxa"/>
              <w:bottom w:w="60" w:type="dxa"/>
              <w:start w:w="110" w:type="dxa"/>
              <w:end w:w="110" w:type="dxa"/>
            </w:tcMar>
            <w:vAlign w:val="center"/>
          </w:tcPr>
          <w:p>
            <w:pPr>
              <w:spacing w:after="0" w:line="252" w:lineRule="auto"/>
            </w:pPr>
            <w:r>
              <w:rPr>
                <w:rFonts w:ascii="Consolas" w:hAnsi="Consolas"/>
                <w:color w:val="102A54"/>
                <w:sz w:val="18"/>
              </w:rPr>
              <w:t>layer-0.json</w:t>
            </w:r>
          </w:p>
        </w:tc>
        <w:tc>
          <w:tcPr>
            <w:tcW w:type="dxa" w:w="518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Multi-source event input boundary</w:t>
            </w:r>
          </w:p>
        </w:tc>
      </w:tr>
      <w:tr>
        <w:tc>
          <w:tcPr>
            <w:tcW w:type="dxa" w:w="4608"/>
            <w:shd w:val="clear" w:color="auto" w:fill="F4F7FB"/>
            <w:tcMar>
              <w:top w:w="60" w:type="dxa"/>
              <w:bottom w:w="60" w:type="dxa"/>
              <w:start w:w="110" w:type="dxa"/>
              <w:end w:w="110" w:type="dxa"/>
            </w:tcMar>
            <w:vAlign w:val="center"/>
          </w:tcPr>
          <w:p>
            <w:pPr>
              <w:spacing w:after="0" w:line="252" w:lineRule="auto"/>
            </w:pPr>
            <w:r>
              <w:rPr>
                <w:rFonts w:ascii="Consolas" w:hAnsi="Consolas"/>
                <w:color w:val="102A54"/>
                <w:sz w:val="18"/>
              </w:rPr>
              <w:t>layer-1-fast-evidence.json</w:t>
            </w:r>
          </w:p>
        </w:tc>
        <w:tc>
          <w:tcPr>
            <w:tcW w:type="dxa" w:w="518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Fast evidence receptors (4 neurons)</w:t>
            </w:r>
          </w:p>
        </w:tc>
      </w:tr>
      <w:tr>
        <w:tc>
          <w:tcPr>
            <w:tcW w:type="dxa" w:w="4608"/>
            <w:shd w:val="clear" w:color="auto" w:fill="FFFFFF"/>
            <w:tcMar>
              <w:top w:w="60" w:type="dxa"/>
              <w:bottom w:w="60" w:type="dxa"/>
              <w:start w:w="110" w:type="dxa"/>
              <w:end w:w="110" w:type="dxa"/>
            </w:tcMar>
            <w:vAlign w:val="center"/>
          </w:tcPr>
          <w:p>
            <w:pPr>
              <w:spacing w:after="0" w:line="252" w:lineRule="auto"/>
            </w:pPr>
            <w:r>
              <w:rPr>
                <w:rFonts w:ascii="Consolas" w:hAnsi="Consolas"/>
                <w:color w:val="102A54"/>
                <w:sz w:val="18"/>
              </w:rPr>
              <w:t>layer-2-temporal-correlation.json</w:t>
            </w:r>
          </w:p>
        </w:tc>
        <w:tc>
          <w:tcPr>
            <w:tcW w:type="dxa" w:w="518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Trained correlator — embedded weights, gates, baseline policy</w:t>
            </w:r>
          </w:p>
        </w:tc>
      </w:tr>
      <w:tr>
        <w:tc>
          <w:tcPr>
            <w:tcW w:type="dxa" w:w="4608"/>
            <w:shd w:val="clear" w:color="auto" w:fill="F4F7FB"/>
            <w:tcMar>
              <w:top w:w="60" w:type="dxa"/>
              <w:bottom w:w="60" w:type="dxa"/>
              <w:start w:w="110" w:type="dxa"/>
              <w:end w:w="110" w:type="dxa"/>
            </w:tcMar>
            <w:vAlign w:val="center"/>
          </w:tcPr>
          <w:p>
            <w:pPr>
              <w:spacing w:after="0" w:line="252" w:lineRule="auto"/>
            </w:pPr>
            <w:r>
              <w:rPr>
                <w:rFonts w:ascii="Consolas" w:hAnsi="Consolas"/>
                <w:color w:val="102A54"/>
                <w:sz w:val="18"/>
              </w:rPr>
              <w:t>layer-3-response-planning.json</w:t>
            </w:r>
          </w:p>
        </w:tc>
        <w:tc>
          <w:tcPr>
            <w:tcW w:type="dxa" w:w="518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Advisory response bands + the fixed hard safety gate</w:t>
            </w:r>
          </w:p>
        </w:tc>
      </w:tr>
      <w:tr>
        <w:tc>
          <w:tcPr>
            <w:tcW w:type="dxa" w:w="4608"/>
            <w:shd w:val="clear" w:color="auto" w:fill="FFFFFF"/>
            <w:tcMar>
              <w:top w:w="60" w:type="dxa"/>
              <w:bottom w:w="60" w:type="dxa"/>
              <w:start w:w="110" w:type="dxa"/>
              <w:end w:w="110" w:type="dxa"/>
            </w:tcMar>
            <w:vAlign w:val="center"/>
          </w:tcPr>
          <w:p>
            <w:pPr>
              <w:spacing w:after="0" w:line="252" w:lineRule="auto"/>
            </w:pPr>
            <w:r>
              <w:rPr>
                <w:rFonts w:ascii="Consolas" w:hAnsi="Consolas"/>
                <w:color w:val="102A54"/>
                <w:sz w:val="18"/>
              </w:rPr>
              <w:t>result-layer.json</w:t>
            </w:r>
          </w:p>
        </w:tc>
        <w:tc>
          <w:tcPr>
            <w:tcW w:type="dxa" w:w="518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Security-advisory result output</w:t>
            </w:r>
          </w:p>
        </w:tc>
      </w:tr>
      <w:tr>
        <w:tc>
          <w:tcPr>
            <w:tcW w:type="dxa" w:w="4608"/>
            <w:shd w:val="clear" w:color="auto" w:fill="F4F7FB"/>
            <w:tcMar>
              <w:top w:w="60" w:type="dxa"/>
              <w:bottom w:w="60" w:type="dxa"/>
              <w:start w:w="110" w:type="dxa"/>
              <w:end w:w="110" w:type="dxa"/>
            </w:tcMar>
            <w:vAlign w:val="center"/>
          </w:tcPr>
          <w:p>
            <w:pPr>
              <w:spacing w:after="0" w:line="252" w:lineRule="auto"/>
            </w:pPr>
            <w:r>
              <w:rPr>
                <w:rFonts w:ascii="Consolas" w:hAnsi="Consolas"/>
                <w:color w:val="102A54"/>
                <w:sz w:val="18"/>
              </w:rPr>
              <w:t>trained-temporal-threat-model.json</w:t>
            </w:r>
          </w:p>
        </w:tc>
        <w:tc>
          <w:tcPr>
            <w:tcW w:type="dxa" w:w="518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Compact trained model the correlation layer references</w:t>
            </w:r>
          </w:p>
        </w:tc>
      </w:tr>
      <w:tr>
        <w:tc>
          <w:tcPr>
            <w:tcW w:type="dxa" w:w="4608"/>
            <w:shd w:val="clear" w:color="auto" w:fill="FFFFFF"/>
            <w:tcMar>
              <w:top w:w="60" w:type="dxa"/>
              <w:bottom w:w="60" w:type="dxa"/>
              <w:start w:w="110" w:type="dxa"/>
              <w:end w:w="110" w:type="dxa"/>
            </w:tcMar>
            <w:vAlign w:val="center"/>
          </w:tcPr>
          <w:p>
            <w:pPr>
              <w:spacing w:after="0" w:line="252" w:lineRule="auto"/>
            </w:pPr>
            <w:r>
              <w:rPr>
                <w:rFonts w:ascii="Consolas" w:hAnsi="Consolas"/>
                <w:color w:val="102A54"/>
                <w:sz w:val="18"/>
              </w:rPr>
              <w:t>trained-model-update.json</w:t>
            </w:r>
            <w:r>
              <w:rPr>
                <w:rFonts w:ascii="Calibri" w:hAnsi="Calibri"/>
                <w:i w:val="0"/>
                <w:color w:val="141B2E"/>
                <w:sz w:val="19"/>
              </w:rPr>
              <w:t xml:space="preserve"> / </w:t>
            </w:r>
            <w:r>
              <w:rPr>
                <w:rFonts w:ascii="Consolas" w:hAnsi="Consolas"/>
                <w:color w:val="102A54"/>
                <w:sz w:val="18"/>
              </w:rPr>
              <w:t>quantitative-summary.json</w:t>
            </w:r>
            <w:r>
              <w:rPr>
                <w:rFonts w:ascii="Calibri" w:hAnsi="Calibri"/>
                <w:i w:val="0"/>
                <w:color w:val="141B2E"/>
                <w:sz w:val="19"/>
              </w:rPr>
              <w:t xml:space="preserve"> / </w:t>
            </w:r>
            <w:r>
              <w:rPr>
                <w:rFonts w:ascii="Consolas" w:hAnsi="Consolas"/>
                <w:color w:val="102A54"/>
                <w:sz w:val="18"/>
              </w:rPr>
              <w:t>source-mapping.json</w:t>
            </w:r>
          </w:p>
        </w:tc>
        <w:tc>
          <w:tcPr>
            <w:tcW w:type="dxa" w:w="518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Provenance, metrics, and source mapping</w:t>
            </w:r>
          </w:p>
        </w:tc>
      </w:tr>
    </w:tbl>
    <w:p>
      <w:pPr>
        <w:spacing w:after="0" w:before="0"/>
      </w:pPr>
      <w:r>
        <w:rPr>
          <w:sz w:val="12"/>
        </w:rPr>
      </w:r>
    </w:p>
    <w:p>
      <w:pPr>
        <w:spacing w:after="120"/>
      </w:pPr>
      <w:r>
        <w:rPr>
          <w:rFonts w:ascii="Calibri" w:hAnsi="Calibri"/>
          <w:i w:val="0"/>
          <w:color w:val="141B2E"/>
          <w:sz w:val="21"/>
        </w:rPr>
        <w:t xml:space="preserve">Total network: </w:t>
      </w:r>
      <w:r>
        <w:rPr>
          <w:rFonts w:ascii="Calibri" w:hAnsi="Calibri"/>
          <w:b/>
          <w:i w:val="0"/>
          <w:color w:val="141B2E"/>
          <w:sz w:val="21"/>
        </w:rPr>
        <w:t>5 layers, 8 real neurons, 34 trainable weights, 1 bias</w:t>
      </w:r>
      <w:r>
        <w:rPr>
          <w:rFonts w:ascii="Calibri" w:hAnsi="Calibri"/>
          <w:i w:val="0"/>
          <w:color w:val="141B2E"/>
          <w:sz w:val="21"/>
        </w:rPr>
        <w:t>. Every neuron names a concrete class from the worker's security package — so deployment is a matter of pointing the worker at this directory, not re-implementing anything.</w:t>
      </w:r>
    </w:p>
    <w:p>
      <w:pPr>
        <w:keepNext/>
        <w:spacing w:before="320" w:after="40"/>
        <w:pBdr>
          <w:bottom w:val="single" w:sz="10" w:space="4" w:color="0E7C86"/>
        </w:pBdr>
      </w:pPr>
      <w:r>
        <w:rPr>
          <w:rFonts w:ascii="Calibri" w:hAnsi="Calibri"/>
          <w:b/>
          <w:color w:val="0E7C86"/>
          <w:sz w:val="34"/>
        </w:rPr>
        <w:t xml:space="preserve">5  </w:t>
      </w:r>
      <w:r>
        <w:rPr>
          <w:rFonts w:ascii="Calibri" w:hAnsi="Calibri"/>
          <w:b/>
          <w:color w:val="102A54"/>
          <w:sz w:val="34"/>
        </w:rPr>
        <w:t>Point the worker at the generated neuron-net structure</w:t>
      </w:r>
    </w:p>
    <w:p>
      <w:pPr>
        <w:spacing w:after="120"/>
      </w:pPr>
      <w:r>
        <w:rPr>
          <w:rFonts w:ascii="Calibri" w:hAnsi="Calibri"/>
          <w:i w:val="0"/>
          <w:color w:val="141B2E"/>
          <w:sz w:val="21"/>
        </w:rPr>
        <w:t xml:space="preserve">The neuron-net structure — the architecture's "neuron-network structure file" — is </w:t>
      </w:r>
      <w:r>
        <w:rPr>
          <w:rFonts w:ascii="Calibri" w:hAnsi="Calibri"/>
          <w:b/>
          <w:i w:val="0"/>
          <w:color w:val="141B2E"/>
          <w:sz w:val="21"/>
        </w:rPr>
        <w:t>generated by training</w:t>
      </w:r>
      <w:r>
        <w:rPr>
          <w:rFonts w:ascii="Calibri" w:hAnsi="Calibri"/>
          <w:i w:val="0"/>
          <w:color w:val="141B2E"/>
          <w:sz w:val="21"/>
        </w:rPr>
        <w:t xml:space="preserve">, not hand-written. Point </w:t>
      </w:r>
      <w:r>
        <w:rPr>
          <w:rFonts w:ascii="Consolas" w:hAnsi="Consolas"/>
          <w:color w:val="102A54"/>
          <w:sz w:val="20"/>
        </w:rPr>
        <w:t>configuration.input.layermeta</w:t>
      </w:r>
      <w:r>
        <w:rPr>
          <w:rFonts w:ascii="Calibri" w:hAnsi="Calibri"/>
          <w:i w:val="0"/>
          <w:color w:val="141B2E"/>
          <w:sz w:val="21"/>
        </w:rPr>
        <w:t xml:space="preserve"> at the directory holding the five layer files and the worker boots the network directly. Each file is a real layer of real neurons:</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3058"/>
        <w:gridCol w:w="3058"/>
        <w:gridCol w:w="3058"/>
      </w:tblGrid>
      <w:tr>
        <w:tc>
          <w:tcPr>
            <w:tcW w:type="dxa" w:w="3312"/>
            <w:shd w:val="clear" w:color="auto" w:fill="0E7C86"/>
            <w:tcMar>
              <w:top w:w="60" w:type="dxa"/>
              <w:bottom w:w="60" w:type="dxa"/>
              <w:start w:w="110" w:type="dxa"/>
              <w:end w:w="110" w:type="dxa"/>
            </w:tcMar>
            <w:vAlign w:val="center"/>
          </w:tcPr>
          <w:p>
            <w:pPr>
              <w:spacing w:after="0"/>
            </w:pPr>
            <w:r>
              <w:rPr>
                <w:rFonts w:ascii="Calibri" w:hAnsi="Calibri"/>
                <w:b/>
                <w:color w:val="FFFFFF"/>
                <w:sz w:val="19"/>
              </w:rPr>
              <w:t>Layer file</w:t>
            </w:r>
          </w:p>
        </w:tc>
        <w:tc>
          <w:tcPr>
            <w:tcW w:type="dxa" w:w="2016"/>
            <w:shd w:val="clear" w:color="auto" w:fill="0E7C86"/>
            <w:tcMar>
              <w:top w:w="60" w:type="dxa"/>
              <w:bottom w:w="60" w:type="dxa"/>
              <w:start w:w="110" w:type="dxa"/>
              <w:end w:w="110" w:type="dxa"/>
            </w:tcMar>
            <w:vAlign w:val="center"/>
          </w:tcPr>
          <w:p>
            <w:pPr>
              <w:spacing w:after="0"/>
            </w:pPr>
            <w:r>
              <w:rPr>
                <w:rFonts w:ascii="Calibri" w:hAnsi="Calibri"/>
                <w:b/>
                <w:color w:val="FFFFFF"/>
                <w:sz w:val="19"/>
              </w:rPr>
              <w:t>Layer</w:t>
            </w:r>
          </w:p>
        </w:tc>
        <w:tc>
          <w:tcPr>
            <w:tcW w:type="dxa" w:w="4464"/>
            <w:shd w:val="clear" w:color="auto" w:fill="0E7C86"/>
            <w:tcMar>
              <w:top w:w="60" w:type="dxa"/>
              <w:bottom w:w="60" w:type="dxa"/>
              <w:start w:w="110" w:type="dxa"/>
              <w:end w:w="110" w:type="dxa"/>
            </w:tcMar>
            <w:vAlign w:val="center"/>
          </w:tcPr>
          <w:p>
            <w:pPr>
              <w:spacing w:after="0"/>
            </w:pPr>
            <w:r>
              <w:rPr>
                <w:rFonts w:ascii="Calibri" w:hAnsi="Calibri"/>
                <w:b/>
                <w:color w:val="FFFFFF"/>
                <w:sz w:val="19"/>
              </w:rPr>
              <w:t>Real neuron classes</w:t>
            </w:r>
          </w:p>
        </w:tc>
      </w:tr>
      <w:tr>
        <w:tc>
          <w:tcPr>
            <w:tcW w:type="dxa" w:w="3312"/>
            <w:shd w:val="clear" w:color="auto" w:fill="F4F7FB"/>
            <w:tcMar>
              <w:top w:w="60" w:type="dxa"/>
              <w:bottom w:w="60" w:type="dxa"/>
              <w:start w:w="110" w:type="dxa"/>
              <w:end w:w="110" w:type="dxa"/>
            </w:tcMar>
            <w:vAlign w:val="center"/>
          </w:tcPr>
          <w:p>
            <w:pPr>
              <w:spacing w:after="0" w:line="252" w:lineRule="auto"/>
            </w:pPr>
            <w:r>
              <w:rPr>
                <w:rFonts w:ascii="Consolas" w:hAnsi="Consolas"/>
                <w:color w:val="102A54"/>
                <w:sz w:val="18"/>
              </w:rPr>
              <w:t>layer-0.json</w:t>
            </w:r>
          </w:p>
        </w:tc>
        <w:tc>
          <w:tcPr>
            <w:tcW w:type="dxa" w:w="201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Input</w:t>
            </w:r>
          </w:p>
        </w:tc>
        <w:tc>
          <w:tcPr>
            <w:tcW w:type="dxa" w:w="446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(no neuron objects; canonical inputs only)</w:t>
            </w:r>
          </w:p>
        </w:tc>
      </w:tr>
      <w:tr>
        <w:tc>
          <w:tcPr>
            <w:tcW w:type="dxa" w:w="3312"/>
            <w:shd w:val="clear" w:color="auto" w:fill="FFFFFF"/>
            <w:tcMar>
              <w:top w:w="60" w:type="dxa"/>
              <w:bottom w:w="60" w:type="dxa"/>
              <w:start w:w="110" w:type="dxa"/>
              <w:end w:w="110" w:type="dxa"/>
            </w:tcMar>
            <w:vAlign w:val="center"/>
          </w:tcPr>
          <w:p>
            <w:pPr>
              <w:spacing w:after="0" w:line="252" w:lineRule="auto"/>
            </w:pPr>
            <w:r>
              <w:rPr>
                <w:rFonts w:ascii="Consolas" w:hAnsi="Consolas"/>
                <w:color w:val="102A54"/>
                <w:sz w:val="18"/>
              </w:rPr>
              <w:t>layer-1-fast-evidence.json</w:t>
            </w:r>
          </w:p>
        </w:tc>
        <w:tc>
          <w:tcPr>
            <w:tcW w:type="dxa" w:w="201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Fast evidence</w:t>
            </w:r>
          </w:p>
        </w:tc>
        <w:tc>
          <w:tcPr>
            <w:tcW w:type="dxa" w:w="4464"/>
            <w:shd w:val="clear" w:color="auto" w:fill="FFFFFF"/>
            <w:tcMar>
              <w:top w:w="60" w:type="dxa"/>
              <w:bottom w:w="60" w:type="dxa"/>
              <w:start w:w="110" w:type="dxa"/>
              <w:end w:w="110" w:type="dxa"/>
            </w:tcMar>
            <w:vAlign w:val="center"/>
          </w:tcPr>
          <w:p>
            <w:pPr>
              <w:spacing w:after="0" w:line="252" w:lineRule="auto"/>
            </w:pPr>
            <w:r>
              <w:rPr>
                <w:rFonts w:ascii="Consolas" w:hAnsi="Consolas"/>
                <w:color w:val="102A54"/>
                <w:sz w:val="18"/>
              </w:rPr>
              <w:t>NetworkFlowNeuron</w:t>
            </w:r>
            <w:r>
              <w:rPr>
                <w:rFonts w:ascii="Calibri" w:hAnsi="Calibri"/>
                <w:i w:val="0"/>
                <w:color w:val="141B2E"/>
                <w:sz w:val="19"/>
              </w:rPr>
              <w:t xml:space="preserve">, </w:t>
            </w:r>
            <w:r>
              <w:rPr>
                <w:rFonts w:ascii="Consolas" w:hAnsi="Consolas"/>
                <w:color w:val="102A54"/>
                <w:sz w:val="18"/>
              </w:rPr>
              <w:t>SignaturePatternNeuron</w:t>
            </w:r>
            <w:r>
              <w:rPr>
                <w:rFonts w:ascii="Calibri" w:hAnsi="Calibri"/>
                <w:i w:val="0"/>
                <w:color w:val="141B2E"/>
                <w:sz w:val="19"/>
              </w:rPr>
              <w:t xml:space="preserve">, </w:t>
            </w:r>
            <w:r>
              <w:rPr>
                <w:rFonts w:ascii="Consolas" w:hAnsi="Consolas"/>
                <w:color w:val="102A54"/>
                <w:sz w:val="18"/>
              </w:rPr>
              <w:t>ProcessBehaviourNeuron</w:t>
            </w:r>
            <w:r>
              <w:rPr>
                <w:rFonts w:ascii="Calibri" w:hAnsi="Calibri"/>
                <w:i w:val="0"/>
                <w:color w:val="141B2E"/>
                <w:sz w:val="19"/>
              </w:rPr>
              <w:t xml:space="preserve">, </w:t>
            </w:r>
            <w:r>
              <w:rPr>
                <w:rFonts w:ascii="Consolas" w:hAnsi="Consolas"/>
                <w:color w:val="102A54"/>
                <w:sz w:val="18"/>
              </w:rPr>
              <w:t>EntityBehaviourBaselineNeuron</w:t>
            </w:r>
          </w:p>
        </w:tc>
      </w:tr>
      <w:tr>
        <w:tc>
          <w:tcPr>
            <w:tcW w:type="dxa" w:w="3312"/>
            <w:shd w:val="clear" w:color="auto" w:fill="F4F7FB"/>
            <w:tcMar>
              <w:top w:w="60" w:type="dxa"/>
              <w:bottom w:w="60" w:type="dxa"/>
              <w:start w:w="110" w:type="dxa"/>
              <w:end w:w="110" w:type="dxa"/>
            </w:tcMar>
            <w:vAlign w:val="center"/>
          </w:tcPr>
          <w:p>
            <w:pPr>
              <w:spacing w:after="0" w:line="252" w:lineRule="auto"/>
            </w:pPr>
            <w:r>
              <w:rPr>
                <w:rFonts w:ascii="Consolas" w:hAnsi="Consolas"/>
                <w:color w:val="102A54"/>
                <w:sz w:val="18"/>
              </w:rPr>
              <w:t>layer-2-temporal-correlation.json</w:t>
            </w:r>
          </w:p>
        </w:tc>
        <w:tc>
          <w:tcPr>
            <w:tcW w:type="dxa" w:w="201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Correlation</w:t>
            </w:r>
          </w:p>
        </w:tc>
        <w:tc>
          <w:tcPr>
            <w:tcW w:type="dxa" w:w="4464"/>
            <w:shd w:val="clear" w:color="auto" w:fill="F4F7FB"/>
            <w:tcMar>
              <w:top w:w="60" w:type="dxa"/>
              <w:bottom w:w="60" w:type="dxa"/>
              <w:start w:w="110" w:type="dxa"/>
              <w:end w:w="110" w:type="dxa"/>
            </w:tcMar>
            <w:vAlign w:val="center"/>
          </w:tcPr>
          <w:p>
            <w:pPr>
              <w:spacing w:after="0" w:line="252" w:lineRule="auto"/>
            </w:pPr>
            <w:r>
              <w:rPr>
                <w:rFonts w:ascii="Consolas" w:hAnsi="Consolas"/>
                <w:color w:val="102A54"/>
                <w:sz w:val="18"/>
              </w:rPr>
              <w:t>TemporalThreatCorrelationNeuron</w:t>
            </w:r>
          </w:p>
        </w:tc>
      </w:tr>
      <w:tr>
        <w:tc>
          <w:tcPr>
            <w:tcW w:type="dxa" w:w="3312"/>
            <w:shd w:val="clear" w:color="auto" w:fill="FFFFFF"/>
            <w:tcMar>
              <w:top w:w="60" w:type="dxa"/>
              <w:bottom w:w="60" w:type="dxa"/>
              <w:start w:w="110" w:type="dxa"/>
              <w:end w:w="110" w:type="dxa"/>
            </w:tcMar>
            <w:vAlign w:val="center"/>
          </w:tcPr>
          <w:p>
            <w:pPr>
              <w:spacing w:after="0" w:line="252" w:lineRule="auto"/>
            </w:pPr>
            <w:r>
              <w:rPr>
                <w:rFonts w:ascii="Consolas" w:hAnsi="Consolas"/>
                <w:color w:val="102A54"/>
                <w:sz w:val="18"/>
              </w:rPr>
              <w:t>layer-3-response-planning.json</w:t>
            </w:r>
          </w:p>
        </w:tc>
        <w:tc>
          <w:tcPr>
            <w:tcW w:type="dxa" w:w="201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Planning + gate</w:t>
            </w:r>
          </w:p>
        </w:tc>
        <w:tc>
          <w:tcPr>
            <w:tcW w:type="dxa" w:w="4464"/>
            <w:shd w:val="clear" w:color="auto" w:fill="FFFFFF"/>
            <w:tcMar>
              <w:top w:w="60" w:type="dxa"/>
              <w:bottom w:w="60" w:type="dxa"/>
              <w:start w:w="110" w:type="dxa"/>
              <w:end w:w="110" w:type="dxa"/>
            </w:tcMar>
            <w:vAlign w:val="center"/>
          </w:tcPr>
          <w:p>
            <w:pPr>
              <w:spacing w:after="0" w:line="252" w:lineRule="auto"/>
            </w:pPr>
            <w:r>
              <w:rPr>
                <w:rFonts w:ascii="Consolas" w:hAnsi="Consolas"/>
                <w:color w:val="102A54"/>
                <w:sz w:val="18"/>
              </w:rPr>
              <w:t>ResponsePlanningNeuron</w:t>
            </w:r>
            <w:r>
              <w:rPr>
                <w:rFonts w:ascii="Calibri" w:hAnsi="Calibri"/>
                <w:i w:val="0"/>
                <w:color w:val="141B2E"/>
                <w:sz w:val="19"/>
              </w:rPr>
              <w:t xml:space="preserve">, </w:t>
            </w:r>
            <w:r>
              <w:rPr>
                <w:rFonts w:ascii="Consolas" w:hAnsi="Consolas"/>
                <w:color w:val="102A54"/>
                <w:sz w:val="18"/>
              </w:rPr>
              <w:t>ResponseGateNeuron</w:t>
            </w:r>
          </w:p>
        </w:tc>
      </w:tr>
      <w:tr>
        <w:tc>
          <w:tcPr>
            <w:tcW w:type="dxa" w:w="3312"/>
            <w:shd w:val="clear" w:color="auto" w:fill="F4F7FB"/>
            <w:tcMar>
              <w:top w:w="60" w:type="dxa"/>
              <w:bottom w:w="60" w:type="dxa"/>
              <w:start w:w="110" w:type="dxa"/>
              <w:end w:w="110" w:type="dxa"/>
            </w:tcMar>
            <w:vAlign w:val="center"/>
          </w:tcPr>
          <w:p>
            <w:pPr>
              <w:spacing w:after="0" w:line="252" w:lineRule="auto"/>
            </w:pPr>
            <w:r>
              <w:rPr>
                <w:rFonts w:ascii="Consolas" w:hAnsi="Consolas"/>
                <w:color w:val="102A54"/>
                <w:sz w:val="18"/>
              </w:rPr>
              <w:t>result-layer.json</w:t>
            </w:r>
          </w:p>
        </w:tc>
        <w:tc>
          <w:tcPr>
            <w:tcW w:type="dxa" w:w="201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Result</w:t>
            </w:r>
          </w:p>
        </w:tc>
        <w:tc>
          <w:tcPr>
            <w:tcW w:type="dxa" w:w="4464"/>
            <w:shd w:val="clear" w:color="auto" w:fill="F4F7FB"/>
            <w:tcMar>
              <w:top w:w="60" w:type="dxa"/>
              <w:bottom w:w="60" w:type="dxa"/>
              <w:start w:w="110" w:type="dxa"/>
              <w:end w:w="110" w:type="dxa"/>
            </w:tcMar>
            <w:vAlign w:val="center"/>
          </w:tcPr>
          <w:p>
            <w:pPr>
              <w:spacing w:after="0" w:line="252" w:lineRule="auto"/>
            </w:pPr>
            <w:r>
              <w:rPr>
                <w:rFonts w:ascii="Consolas" w:hAnsi="Consolas"/>
                <w:color w:val="102A54"/>
                <w:sz w:val="18"/>
              </w:rPr>
              <w:t>ResponsePlanningNeuron</w:t>
            </w:r>
            <w:r>
              <w:rPr>
                <w:rFonts w:ascii="Calibri" w:hAnsi="Calibri"/>
                <w:i w:val="0"/>
                <w:color w:val="141B2E"/>
                <w:sz w:val="19"/>
              </w:rPr>
              <w:t xml:space="preserve"> (result)</w:t>
            </w:r>
          </w:p>
        </w:tc>
      </w:tr>
    </w:tbl>
    <w:p>
      <w:pPr>
        <w:spacing w:after="0" w:before="0"/>
      </w:pPr>
      <w:r>
        <w:rPr>
          <w:sz w:val="12"/>
        </w:rPr>
      </w:r>
    </w:p>
    <w:p>
      <w:pPr>
        <w:spacing w:after="120"/>
      </w:pPr>
      <w:r>
        <w:rPr>
          <w:rFonts w:ascii="Calibri" w:hAnsi="Calibri"/>
          <w:i w:val="0"/>
          <w:color w:val="141B2E"/>
          <w:sz w:val="21"/>
        </w:rPr>
        <w:t>The correlation layer embeds everything the model learned, ready to run:</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173"/>
      </w:tblGrid>
      <w:tr>
        <w:tc>
          <w:tcPr>
            <w:tcW w:type="dxa" w:w="9173"/>
            <w:shd w:val="clear" w:color="auto" w:fill="0E1A2B"/>
            <w:tcMar>
              <w:top w:w="90" w:type="dxa"/>
              <w:bottom w:w="90" w:type="dxa"/>
              <w:start w:w="140" w:type="dxa"/>
              <w:end w:w="140" w:type="dxa"/>
            </w:tcMar>
          </w:tcPr>
          <w:p>
            <w:pPr>
              <w:spacing w:after="0" w:line="254" w:lineRule="auto"/>
            </w:pPr>
            <w:r>
              <w:rPr>
                <w:rFonts w:ascii="Consolas" w:hAnsi="Consolas"/>
                <w:color w:val="D6E7C8"/>
                <w:sz w:val="18"/>
              </w:rPr>
              <w:t>"dendrites": {</w:t>
            </w:r>
          </w:p>
          <w:p>
            <w:pPr>
              <w:spacing w:after="0" w:line="254" w:lineRule="auto"/>
            </w:pPr>
            <w:r>
              <w:rPr>
                <w:rFonts w:ascii="Consolas" w:hAnsi="Consolas"/>
                <w:color w:val="D6E7C8"/>
                <w:sz w:val="18"/>
              </w:rPr>
              <w:t xml:space="preserve">  "weights": { "technique_command_and_control": 0.428,</w:t>
            </w:r>
          </w:p>
          <w:p>
            <w:pPr>
              <w:spacing w:after="0" w:line="254" w:lineRule="auto"/>
            </w:pPr>
            <w:r>
              <w:rPr>
                <w:rFonts w:ascii="Consolas" w:hAnsi="Consolas"/>
                <w:color w:val="D6E7C8"/>
                <w:sz w:val="18"/>
              </w:rPr>
              <w:t xml:space="preserve">               "network_receptor_score": 0.424,</w:t>
            </w:r>
          </w:p>
          <w:p>
            <w:pPr>
              <w:spacing w:after="0" w:line="254" w:lineRule="auto"/>
            </w:pPr>
            <w:r>
              <w:rPr>
                <w:rFonts w:ascii="Consolas" w:hAnsi="Consolas"/>
                <w:color w:val="D6E7C8"/>
                <w:sz w:val="18"/>
              </w:rPr>
              <w:t xml:space="preserve">               "maintenance_ratio": -0.452, ... },</w:t>
            </w:r>
          </w:p>
          <w:p>
            <w:pPr>
              <w:spacing w:after="0" w:line="254" w:lineRule="auto"/>
            </w:pPr>
            <w:r>
              <w:rPr>
                <w:rFonts w:ascii="Consolas" w:hAnsi="Consolas"/>
                <w:color w:val="D6E7C8"/>
                <w:sz w:val="18"/>
              </w:rPr>
              <w:t xml:space="preserve">  "bias": 2.1597, "decisionThreshold": 0.2 },</w:t>
            </w:r>
          </w:p>
          <w:p>
            <w:pPr>
              <w:spacing w:after="0" w:line="254" w:lineRule="auto"/>
            </w:pPr>
            <w:r>
              <w:rPr>
                <w:rFonts w:ascii="Consolas" w:hAnsi="Consolas"/>
                <w:color w:val="D6E7C8"/>
                <w:sz w:val="18"/>
              </w:rPr>
              <w:t>"baselineAdaptation": {</w:t>
            </w:r>
          </w:p>
          <w:p>
            <w:pPr>
              <w:spacing w:after="0" w:line="254" w:lineRule="auto"/>
            </w:pPr>
            <w:r>
              <w:rPr>
                <w:rFonts w:ascii="Consolas" w:hAnsi="Consolas"/>
                <w:color w:val="D6E7C8"/>
                <w:sz w:val="18"/>
              </w:rPr>
              <w:t xml:space="preserve">  "freezeWhenPosteriorAtLeast": 0.3,</w:t>
            </w:r>
          </w:p>
          <w:p>
            <w:pPr>
              <w:spacing w:after="0" w:line="254" w:lineRule="auto"/>
            </w:pPr>
            <w:r>
              <w:rPr>
                <w:rFonts w:ascii="Consolas" w:hAnsi="Consolas"/>
                <w:color w:val="D6E7C8"/>
                <w:sz w:val="18"/>
              </w:rPr>
              <w:t xml:space="preserve">  "freezeWhenSignatureConfidenceAtLeast": 0.8,</w:t>
            </w:r>
          </w:p>
          <w:p>
            <w:pPr>
              <w:spacing w:after="0" w:line="254" w:lineRule="auto"/>
            </w:pPr>
            <w:r>
              <w:rPr>
                <w:rFonts w:ascii="Consolas" w:hAnsi="Consolas"/>
                <w:color w:val="D6E7C8"/>
                <w:sz w:val="18"/>
              </w:rPr>
              <w:t xml:space="preserve">  "trustedBenignOnly": true }</w:t>
            </w:r>
          </w:p>
        </w:tc>
      </w:tr>
    </w:tbl>
    <w:p>
      <w:pPr>
        <w:spacing w:after="0" w:before="0"/>
      </w:pPr>
      <w:r>
        <w:rPr>
          <w:sz w:val="8"/>
        </w:rPr>
      </w:r>
    </w:p>
    <w:tbl>
      <w:tblPr>
        <w:tblW w:type="auto" w:w="0"/>
        <w:jc w:val="center"/>
        <w:tblLook w:firstColumn="1" w:firstRow="1" w:lastColumn="0" w:lastRow="0" w:noHBand="0" w:noVBand="1" w:val="04A0"/>
        <w:tblBorders>
          <w:top w:val="single" w:sz="4" w:space="0" w:color="E8F3EC"/>
          <w:left w:val="single" w:sz="4" w:space="0" w:color="E8F3EC"/>
          <w:bottom w:val="single" w:sz="4" w:space="0" w:color="E8F3EC"/>
          <w:right w:val="single" w:sz="4" w:space="0" w:color="E8F3EC"/>
          <w:insideH w:val="single" w:sz="4" w:space="0" w:color="E8F3EC"/>
          <w:insideV w:val="single" w:sz="4" w:space="0" w:color="E8F3EC"/>
        </w:tblBorders>
      </w:tblPr>
      <w:tblGrid>
        <w:gridCol w:w="9173"/>
      </w:tblGrid>
      <w:tr>
        <w:tc>
          <w:tcPr>
            <w:tcW w:type="dxa" w:w="9173"/>
            <w:shd w:val="clear" w:color="auto" w:fill="E8F3EC"/>
            <w:tcMar>
              <w:top w:w="120" w:type="dxa"/>
              <w:bottom w:w="120" w:type="dxa"/>
              <w:start w:w="160" w:type="dxa"/>
              <w:end w:w="160" w:type="dxa"/>
            </w:tcMar>
            <w:tcBorders>
              <w:left w:val="single" w:sz="24" w:space="0" w:color="1F7A3D"/>
            </w:tcBorders>
          </w:tcPr>
          <w:p>
            <w:pPr>
              <w:spacing w:after="60"/>
            </w:pPr>
            <w:r>
              <w:rPr>
                <w:rFonts w:ascii="Calibri" w:hAnsi="Calibri"/>
                <w:b/>
                <w:color w:val="1F7A3D"/>
                <w:sz w:val="21"/>
              </w:rPr>
              <w:t>No translation step</w:t>
            </w:r>
          </w:p>
          <w:p>
            <w:pPr>
              <w:spacing w:after="0"/>
            </w:pPr>
            <w:r>
              <w:rPr>
                <w:rFonts w:ascii="Calibri" w:hAnsi="Calibri"/>
                <w:i w:val="0"/>
                <w:color w:val="141B2E"/>
                <w:sz w:val="20"/>
              </w:rPr>
              <w:t>Because the structure is generated with the trained weights already inside, what you deploy is exactly what was trained and tested. The decision threshold (0.2), the five sequence gates, the response bands, and the baseline-freeze thresholds all travel inside the layer files — nothing is re-entered by hand.</w:t>
            </w:r>
          </w:p>
        </w:tc>
      </w:tr>
    </w:tbl>
    <w:p>
      <w:pPr>
        <w:spacing w:after="0" w:before="0"/>
      </w:pPr>
      <w:r>
        <w:rPr>
          <w:sz w:val="12"/>
        </w:rPr>
      </w:r>
    </w:p>
    <w:p>
      <w:pPr>
        <w:keepNext/>
        <w:spacing w:before="320" w:after="40"/>
        <w:pBdr>
          <w:bottom w:val="single" w:sz="10" w:space="4" w:color="0E7C86"/>
        </w:pBdr>
      </w:pPr>
      <w:r>
        <w:rPr>
          <w:rFonts w:ascii="Calibri" w:hAnsi="Calibri"/>
          <w:b/>
          <w:color w:val="0E7C86"/>
          <w:sz w:val="34"/>
        </w:rPr>
        <w:t xml:space="preserve">6  </w:t>
      </w:r>
      <w:r>
        <w:rPr>
          <w:rFonts w:ascii="Calibri" w:hAnsi="Calibri"/>
          <w:b/>
          <w:color w:val="102A54"/>
          <w:sz w:val="34"/>
        </w:rPr>
        <w:t>Package the deployment JAR</w:t>
      </w:r>
    </w:p>
    <w:p>
      <w:pPr>
        <w:spacing w:after="120"/>
      </w:pPr>
      <w:r>
        <w:rPr>
          <w:rFonts w:ascii="Calibri" w:hAnsi="Calibri"/>
          <w:i w:val="0"/>
          <w:color w:val="141B2E"/>
          <w:sz w:val="21"/>
        </w:rPr>
        <w:t xml:space="preserve">The neuron, processor, and signal classes the structure references </w:t>
      </w:r>
      <w:r>
        <w:rPr>
          <w:rFonts w:ascii="Calibri" w:hAnsi="Calibri"/>
          <w:b/>
          <w:i w:val="0"/>
          <w:color w:val="141B2E"/>
          <w:sz w:val="21"/>
        </w:rPr>
        <w:t>already ship in the worker's security module</w:t>
      </w:r>
      <w:r>
        <w:rPr>
          <w:rFonts w:ascii="Calibri" w:hAnsi="Calibri"/>
          <w:i w:val="0"/>
          <w:color w:val="141B2E"/>
          <w:sz w:val="21"/>
        </w:rPr>
        <w:t>, so you do not re-implement them:</w:t>
      </w:r>
    </w:p>
    <w:p>
      <w:pPr>
        <w:pStyle w:val="ListBullet"/>
        <w:spacing w:after="60" w:line="269" w:lineRule="auto"/>
        <w:ind w:left="403"/>
      </w:pPr>
      <w:r>
        <w:rPr>
          <w:rFonts w:ascii="Calibri" w:hAnsi="Calibri"/>
          <w:i w:val="0"/>
          <w:color w:val="141B2E"/>
          <w:sz w:val="21"/>
        </w:rPr>
        <w:t xml:space="preserve">Neurons — </w:t>
      </w:r>
      <w:r>
        <w:rPr>
          <w:rFonts w:ascii="Consolas" w:hAnsi="Consolas"/>
          <w:color w:val="102A54"/>
          <w:sz w:val="20"/>
        </w:rPr>
        <w:t>com.rakovpublic.jneuropallium.worker.net.neuron.impl.security.*</w:t>
      </w:r>
      <w:r>
        <w:rPr>
          <w:rFonts w:ascii="Calibri" w:hAnsi="Calibri"/>
          <w:i w:val="0"/>
          <w:color w:val="141B2E"/>
          <w:sz w:val="21"/>
        </w:rPr>
        <w:t xml:space="preserve"> (</w:t>
      </w:r>
      <w:r>
        <w:rPr>
          <w:rFonts w:ascii="Consolas" w:hAnsi="Consolas"/>
          <w:color w:val="102A54"/>
          <w:sz w:val="20"/>
        </w:rPr>
        <w:t>TemporalThreatCorrelationNeuron</w:t>
      </w:r>
      <w:r>
        <w:rPr>
          <w:rFonts w:ascii="Calibri" w:hAnsi="Calibri"/>
          <w:i w:val="0"/>
          <w:color w:val="141B2E"/>
          <w:sz w:val="21"/>
        </w:rPr>
        <w:t xml:space="preserve">, </w:t>
      </w:r>
      <w:r>
        <w:rPr>
          <w:rFonts w:ascii="Consolas" w:hAnsi="Consolas"/>
          <w:color w:val="102A54"/>
          <w:sz w:val="20"/>
        </w:rPr>
        <w:t>ResponseGateNeuron</w:t>
      </w:r>
      <w:r>
        <w:rPr>
          <w:rFonts w:ascii="Calibri" w:hAnsi="Calibri"/>
          <w:i w:val="0"/>
          <w:color w:val="141B2E"/>
          <w:sz w:val="21"/>
        </w:rPr>
        <w:t>, …).</w:t>
      </w:r>
    </w:p>
    <w:p>
      <w:pPr>
        <w:pStyle w:val="ListBullet"/>
        <w:spacing w:after="60" w:line="269" w:lineRule="auto"/>
        <w:ind w:left="403"/>
      </w:pPr>
      <w:r>
        <w:rPr>
          <w:rFonts w:ascii="Calibri" w:hAnsi="Calibri"/>
          <w:i w:val="0"/>
          <w:color w:val="141B2E"/>
          <w:sz w:val="21"/>
        </w:rPr>
        <w:t xml:space="preserve">Processors — </w:t>
      </w:r>
      <w:r>
        <w:rPr>
          <w:rFonts w:ascii="Consolas" w:hAnsi="Consolas"/>
          <w:color w:val="102A54"/>
          <w:sz w:val="20"/>
        </w:rPr>
        <w:t>…worker.signalprocessor.impl.security.*</w:t>
      </w:r>
      <w:r>
        <w:rPr>
          <w:rFonts w:ascii="Calibri" w:hAnsi="Calibri"/>
          <w:i w:val="0"/>
          <w:color w:val="141B2E"/>
          <w:sz w:val="21"/>
        </w:rPr>
        <w:t xml:space="preserve"> (</w:t>
      </w:r>
      <w:r>
        <w:rPr>
          <w:rFonts w:ascii="Consolas" w:hAnsi="Consolas"/>
          <w:color w:val="102A54"/>
          <w:sz w:val="20"/>
        </w:rPr>
        <w:t>AnomalyHypothesisProcessor</w:t>
      </w:r>
      <w:r>
        <w:rPr>
          <w:rFonts w:ascii="Calibri" w:hAnsi="Calibri"/>
          <w:i w:val="0"/>
          <w:color w:val="141B2E"/>
          <w:sz w:val="21"/>
        </w:rPr>
        <w:t xml:space="preserve">, </w:t>
      </w:r>
      <w:r>
        <w:rPr>
          <w:rFonts w:ascii="Consolas" w:hAnsi="Consolas"/>
          <w:color w:val="102A54"/>
          <w:sz w:val="20"/>
        </w:rPr>
        <w:t>HypothesisResponseProcessor</w:t>
      </w:r>
      <w:r>
        <w:rPr>
          <w:rFonts w:ascii="Calibri" w:hAnsi="Calibri"/>
          <w:i w:val="0"/>
          <w:color w:val="141B2E"/>
          <w:sz w:val="21"/>
        </w:rPr>
        <w:t xml:space="preserve">, </w:t>
      </w:r>
      <w:r>
        <w:rPr>
          <w:rFonts w:ascii="Consolas" w:hAnsi="Consolas"/>
          <w:color w:val="102A54"/>
          <w:sz w:val="20"/>
        </w:rPr>
        <w:t>QuarantineGateProcessor</w:t>
      </w:r>
      <w:r>
        <w:rPr>
          <w:rFonts w:ascii="Calibri" w:hAnsi="Calibri"/>
          <w:i w:val="0"/>
          <w:color w:val="141B2E"/>
          <w:sz w:val="21"/>
        </w:rPr>
        <w:t>, …).</w:t>
      </w:r>
    </w:p>
    <w:p>
      <w:pPr>
        <w:pStyle w:val="ListBullet"/>
        <w:spacing w:after="60" w:line="269" w:lineRule="auto"/>
        <w:ind w:left="403"/>
      </w:pPr>
      <w:r>
        <w:rPr>
          <w:rFonts w:ascii="Calibri" w:hAnsi="Calibri"/>
          <w:i w:val="0"/>
          <w:color w:val="141B2E"/>
          <w:sz w:val="21"/>
        </w:rPr>
        <w:t xml:space="preserve">Signals — </w:t>
      </w:r>
      <w:r>
        <w:rPr>
          <w:rFonts w:ascii="Consolas" w:hAnsi="Consolas"/>
          <w:color w:val="102A54"/>
          <w:sz w:val="20"/>
        </w:rPr>
        <w:t>…worker.net.signals.impl.security.*</w:t>
      </w:r>
      <w:r>
        <w:rPr>
          <w:rFonts w:ascii="Calibri" w:hAnsi="Calibri"/>
          <w:i w:val="0"/>
          <w:color w:val="141B2E"/>
          <w:sz w:val="21"/>
        </w:rPr>
        <w:t xml:space="preserve"> (</w:t>
      </w:r>
      <w:r>
        <w:rPr>
          <w:rFonts w:ascii="Consolas" w:hAnsi="Consolas"/>
          <w:color w:val="102A54"/>
          <w:sz w:val="20"/>
        </w:rPr>
        <w:t>AnomalyScoreSignal</w:t>
      </w:r>
      <w:r>
        <w:rPr>
          <w:rFonts w:ascii="Calibri" w:hAnsi="Calibri"/>
          <w:i w:val="0"/>
          <w:color w:val="141B2E"/>
          <w:sz w:val="21"/>
        </w:rPr>
        <w:t xml:space="preserve">, </w:t>
      </w:r>
      <w:r>
        <w:rPr>
          <w:rFonts w:ascii="Consolas" w:hAnsi="Consolas"/>
          <w:color w:val="102A54"/>
          <w:sz w:val="20"/>
        </w:rPr>
        <w:t>ThreatHypothesisSignal</w:t>
      </w:r>
      <w:r>
        <w:rPr>
          <w:rFonts w:ascii="Calibri" w:hAnsi="Calibri"/>
          <w:i w:val="0"/>
          <w:color w:val="141B2E"/>
          <w:sz w:val="21"/>
        </w:rPr>
        <w:t xml:space="preserve">, </w:t>
      </w:r>
      <w:r>
        <w:rPr>
          <w:rFonts w:ascii="Consolas" w:hAnsi="Consolas"/>
          <w:color w:val="102A54"/>
          <w:sz w:val="20"/>
        </w:rPr>
        <w:t>QuarantineRequestSignal</w:t>
      </w:r>
      <w:r>
        <w:rPr>
          <w:rFonts w:ascii="Calibri" w:hAnsi="Calibri"/>
          <w:i w:val="0"/>
          <w:color w:val="141B2E"/>
          <w:sz w:val="21"/>
        </w:rPr>
        <w:t>, …).</w:t>
      </w:r>
    </w:p>
    <w:p>
      <w:pPr>
        <w:spacing w:after="120"/>
      </w:pPr>
      <w:r>
        <w:rPr>
          <w:rFonts w:ascii="Calibri" w:hAnsi="Calibri"/>
          <w:i w:val="0"/>
          <w:color w:val="141B2E"/>
          <w:sz w:val="21"/>
        </w:rPr>
        <w:t xml:space="preserve">Your deployment JAR therefore needs to provide only the two integration pieces that are specific to your environment: a custom </w:t>
      </w:r>
      <w:r>
        <w:rPr>
          <w:rFonts w:ascii="Calibri" w:hAnsi="Calibri"/>
          <w:b/>
          <w:i w:val="0"/>
          <w:color w:val="141B2E"/>
          <w:sz w:val="21"/>
        </w:rPr>
        <w:t>event source</w:t>
      </w:r>
      <w:r>
        <w:rPr>
          <w:rFonts w:ascii="Calibri" w:hAnsi="Calibri"/>
          <w:i w:val="0"/>
          <w:color w:val="141B2E"/>
          <w:sz w:val="21"/>
        </w:rPr>
        <w:t xml:space="preserve"> (</w:t>
      </w:r>
      <w:r>
        <w:rPr>
          <w:rFonts w:ascii="Consolas" w:hAnsi="Consolas"/>
          <w:color w:val="102A54"/>
          <w:sz w:val="20"/>
        </w:rPr>
        <w:t>IInitInput</w:t>
      </w:r>
      <w:r>
        <w:rPr>
          <w:rFonts w:ascii="Calibri" w:hAnsi="Calibri"/>
          <w:i w:val="0"/>
          <w:color w:val="141B2E"/>
          <w:sz w:val="21"/>
        </w:rPr>
        <w:t xml:space="preserve">, e.g. a Kafka reader) and a custom </w:t>
      </w:r>
      <w:r>
        <w:rPr>
          <w:rFonts w:ascii="Calibri" w:hAnsi="Calibri"/>
          <w:b/>
          <w:i w:val="0"/>
          <w:color w:val="141B2E"/>
          <w:sz w:val="21"/>
        </w:rPr>
        <w:t>output sink</w:t>
      </w:r>
      <w:r>
        <w:rPr>
          <w:rFonts w:ascii="Calibri" w:hAnsi="Calibri"/>
          <w:i w:val="0"/>
          <w:color w:val="141B2E"/>
          <w:sz w:val="21"/>
        </w:rPr>
        <w:t xml:space="preserve"> (</w:t>
      </w:r>
      <w:r>
        <w:rPr>
          <w:rFonts w:ascii="Consolas" w:hAnsi="Consolas"/>
          <w:color w:val="102A54"/>
          <w:sz w:val="20"/>
        </w:rPr>
        <w:t>IOutputAggregator</w:t>
      </w:r>
      <w:r>
        <w:rPr>
          <w:rFonts w:ascii="Calibri" w:hAnsi="Calibri"/>
          <w:i w:val="0"/>
          <w:color w:val="141B2E"/>
          <w:sz w:val="21"/>
        </w:rPr>
        <w:t xml:space="preserve">, e.g. a SIEM forwarder). Build it as a Maven module that depends on the </w:t>
      </w:r>
      <w:r>
        <w:rPr>
          <w:rFonts w:ascii="Consolas" w:hAnsi="Consolas"/>
          <w:color w:val="102A54"/>
          <w:sz w:val="20"/>
        </w:rPr>
        <w:t>worker</w:t>
      </w:r>
      <w:r>
        <w:rPr>
          <w:rFonts w:ascii="Calibri" w:hAnsi="Calibri"/>
          <w:i w:val="0"/>
          <w:color w:val="141B2E"/>
          <w:sz w:val="21"/>
        </w:rPr>
        <w:t xml:space="preserve"> artifact:</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173"/>
      </w:tblGrid>
      <w:tr>
        <w:tc>
          <w:tcPr>
            <w:tcW w:type="dxa" w:w="9173"/>
            <w:shd w:val="clear" w:color="auto" w:fill="0E1A2B"/>
            <w:tcMar>
              <w:top w:w="90" w:type="dxa"/>
              <w:bottom w:w="90" w:type="dxa"/>
              <w:start w:w="140" w:type="dxa"/>
              <w:end w:w="140" w:type="dxa"/>
            </w:tcMar>
          </w:tcPr>
          <w:p>
            <w:pPr>
              <w:spacing w:after="0" w:line="254" w:lineRule="auto"/>
            </w:pPr>
            <w:r>
              <w:rPr>
                <w:rFonts w:ascii="Consolas" w:hAnsi="Consolas"/>
                <w:color w:val="D6E7C8"/>
                <w:sz w:val="18"/>
              </w:rPr>
              <w:t>mvn -pl cyber-deploy clean package</w:t>
            </w:r>
          </w:p>
          <w:p>
            <w:pPr>
              <w:spacing w:after="0" w:line="254" w:lineRule="auto"/>
            </w:pPr>
            <w:r>
              <w:rPr>
                <w:rFonts w:ascii="Consolas" w:hAnsi="Consolas"/>
                <w:color w:val="D6E7C8"/>
                <w:sz w:val="18"/>
              </w:rPr>
              <w:t># -&gt; target/cyber-model-1.0.jar  (your event source + sink + worker on the classpath)</w:t>
            </w:r>
          </w:p>
          <w:p>
            <w:pPr>
              <w:spacing w:after="0" w:line="254" w:lineRule="auto"/>
            </w:pPr>
            <w:r>
              <w:rPr>
                <w:rFonts w:ascii="Consolas" w:hAnsi="Consolas"/>
                <w:color w:val="D6E7C8"/>
                <w:sz w:val="18"/>
              </w:rPr>
              <w:t># passed to Entry as: file:///opt/jneo/cyber-model.jar</w:t>
            </w:r>
          </w:p>
        </w:tc>
      </w:tr>
    </w:tbl>
    <w:p>
      <w:pPr>
        <w:spacing w:after="0" w:before="0"/>
      </w:pPr>
      <w:r>
        <w:rPr>
          <w:sz w:val="8"/>
        </w:rPr>
      </w:r>
    </w:p>
    <w:tbl>
      <w:tblPr>
        <w:tblW w:type="auto" w:w="0"/>
        <w:jc w:val="center"/>
        <w:tblLook w:firstColumn="1" w:firstRow="1" w:lastColumn="0" w:lastRow="0" w:noHBand="0" w:noVBand="1" w:val="04A0"/>
        <w:tblBorders>
          <w:top w:val="single" w:sz="4" w:space="0" w:color="EAF1F9"/>
          <w:left w:val="single" w:sz="4" w:space="0" w:color="EAF1F9"/>
          <w:bottom w:val="single" w:sz="4" w:space="0" w:color="EAF1F9"/>
          <w:right w:val="single" w:sz="4" w:space="0" w:color="EAF1F9"/>
          <w:insideH w:val="single" w:sz="4" w:space="0" w:color="EAF1F9"/>
          <w:insideV w:val="single" w:sz="4" w:space="0" w:color="EAF1F9"/>
        </w:tblBorders>
      </w:tblPr>
      <w:tblGrid>
        <w:gridCol w:w="9173"/>
      </w:tblGrid>
      <w:tr>
        <w:tc>
          <w:tcPr>
            <w:tcW w:type="dxa" w:w="9173"/>
            <w:shd w:val="clear" w:color="auto" w:fill="EAF1F9"/>
            <w:tcMar>
              <w:top w:w="120" w:type="dxa"/>
              <w:bottom w:w="120" w:type="dxa"/>
              <w:start w:w="160" w:type="dxa"/>
              <w:end w:w="160" w:type="dxa"/>
            </w:tcMar>
            <w:tcBorders>
              <w:left w:val="single" w:sz="24" w:space="0" w:color="1C5D99"/>
            </w:tcBorders>
          </w:tcPr>
          <w:p>
            <w:pPr>
              <w:spacing w:after="60"/>
            </w:pPr>
            <w:r>
              <w:rPr>
                <w:rFonts w:ascii="Calibri" w:hAnsi="Calibri"/>
                <w:b/>
                <w:color w:val="1C5D99"/>
                <w:sz w:val="21"/>
              </w:rPr>
              <w:t>Fail-fast class check</w:t>
            </w:r>
          </w:p>
          <w:p>
            <w:pPr>
              <w:spacing w:after="0"/>
            </w:pPr>
            <w:r>
              <w:rPr>
                <w:rFonts w:ascii="Calibri" w:hAnsi="Calibri"/>
                <w:i w:val="0"/>
                <w:color w:val="141B2E"/>
                <w:sz w:val="20"/>
              </w:rPr>
              <w:t xml:space="preserve">List the runtime classes your structure references in </w:t>
            </w:r>
            <w:r>
              <w:rPr>
                <w:rFonts w:ascii="Consolas" w:hAnsi="Consolas"/>
                <w:color w:val="102A54"/>
                <w:sz w:val="19"/>
              </w:rPr>
              <w:t>configuration.neuronnet.classes</w:t>
            </w:r>
            <w:r>
              <w:rPr>
                <w:rFonts w:ascii="Calibri" w:hAnsi="Calibri"/>
                <w:i w:val="0"/>
                <w:color w:val="141B2E"/>
                <w:sz w:val="20"/>
              </w:rPr>
              <w:t xml:space="preserve"> (the trainer records them in </w:t>
            </w:r>
            <w:r>
              <w:rPr>
                <w:rFonts w:ascii="Consolas" w:hAnsi="Consolas"/>
                <w:color w:val="102A54"/>
                <w:sz w:val="19"/>
              </w:rPr>
              <w:t>model-descriptor.json</w:t>
            </w:r>
            <w:r>
              <w:rPr>
                <w:rFonts w:ascii="Calibri" w:hAnsi="Calibri"/>
                <w:i w:val="0"/>
                <w:color w:val="141B2E"/>
                <w:sz w:val="20"/>
              </w:rPr>
              <w:t xml:space="preserve"> under </w:t>
            </w:r>
            <w:r>
              <w:rPr>
                <w:rFonts w:ascii="Consolas" w:hAnsi="Consolas"/>
                <w:color w:val="102A54"/>
                <w:sz w:val="19"/>
              </w:rPr>
              <w:t>generatedFrom.sourceRuntimeClasses</w:t>
            </w:r>
            <w:r>
              <w:rPr>
                <w:rFonts w:ascii="Calibri" w:hAnsi="Calibri"/>
                <w:i w:val="0"/>
                <w:color w:val="141B2E"/>
                <w:sz w:val="20"/>
              </w:rPr>
              <w:t>). At startup the worker verifies each is present and aborts with a clear error if any is missing.</w:t>
            </w:r>
          </w:p>
        </w:tc>
      </w:tr>
    </w:tbl>
    <w:p>
      <w:pPr>
        <w:spacing w:after="0" w:before="0"/>
      </w:pPr>
      <w:r>
        <w:rPr>
          <w:sz w:val="12"/>
        </w:rPr>
      </w:r>
    </w:p>
    <w:p>
      <w:pPr>
        <w:keepNext/>
        <w:spacing w:before="320" w:after="40"/>
        <w:pBdr>
          <w:bottom w:val="single" w:sz="10" w:space="4" w:color="0E7C86"/>
        </w:pBdr>
      </w:pPr>
      <w:r>
        <w:rPr>
          <w:rFonts w:ascii="Calibri" w:hAnsi="Calibri"/>
          <w:b/>
          <w:color w:val="0E7C86"/>
          <w:sz w:val="34"/>
        </w:rPr>
        <w:t xml:space="preserve">7  </w:t>
      </w:r>
      <w:r>
        <w:rPr>
          <w:rFonts w:ascii="Calibri" w:hAnsi="Calibri"/>
          <w:b/>
          <w:color w:val="102A54"/>
          <w:sz w:val="34"/>
        </w:rPr>
        <w:t>Runtime configuration: the IContext property reference</w:t>
      </w:r>
    </w:p>
    <w:p>
      <w:pPr>
        <w:spacing w:after="120"/>
      </w:pPr>
      <w:r>
        <w:rPr>
          <w:rFonts w:ascii="Calibri" w:hAnsi="Calibri"/>
          <w:i w:val="0"/>
          <w:color w:val="141B2E"/>
          <w:sz w:val="21"/>
        </w:rPr>
        <w:t xml:space="preserve">Configuration reaches the worker through an </w:t>
      </w:r>
      <w:r>
        <w:rPr>
          <w:rFonts w:ascii="Consolas" w:hAnsi="Consolas"/>
          <w:color w:val="102A54"/>
          <w:sz w:val="20"/>
        </w:rPr>
        <w:t>IContext</w:t>
      </w:r>
      <w:r>
        <w:rPr>
          <w:rFonts w:ascii="Calibri" w:hAnsi="Calibri"/>
          <w:i w:val="0"/>
          <w:color w:val="141B2E"/>
          <w:sz w:val="21"/>
        </w:rPr>
        <w:t xml:space="preserve">. The bundled </w:t>
      </w:r>
      <w:r>
        <w:rPr>
          <w:rFonts w:ascii="Consolas" w:hAnsi="Consolas"/>
          <w:color w:val="102A54"/>
          <w:sz w:val="20"/>
        </w:rPr>
        <w:t>DemoJsonContext</w:t>
      </w:r>
      <w:r>
        <w:rPr>
          <w:rFonts w:ascii="Calibri" w:hAnsi="Calibri"/>
          <w:i w:val="0"/>
          <w:color w:val="141B2E"/>
          <w:sz w:val="21"/>
        </w:rPr>
        <w:t xml:space="preserve"> reads a JSON document holding a flat </w:t>
      </w:r>
      <w:r>
        <w:rPr>
          <w:rFonts w:ascii="Consolas" w:hAnsi="Consolas"/>
          <w:color w:val="102A54"/>
          <w:sz w:val="20"/>
        </w:rPr>
        <w:t>properties</w:t>
      </w:r>
      <w:r>
        <w:rPr>
          <w:rFonts w:ascii="Calibri" w:hAnsi="Calibri"/>
          <w:i w:val="0"/>
          <w:color w:val="141B2E"/>
          <w:sz w:val="21"/>
        </w:rPr>
        <w:t xml:space="preserve"> map; the alternative </w:t>
      </w:r>
      <w:r>
        <w:rPr>
          <w:rFonts w:ascii="Consolas" w:hAnsi="Consolas"/>
          <w:color w:val="102A54"/>
          <w:sz w:val="20"/>
        </w:rPr>
        <w:t>Context</w:t>
      </w:r>
      <w:r>
        <w:rPr>
          <w:rFonts w:ascii="Calibri" w:hAnsi="Calibri"/>
          <w:i w:val="0"/>
          <w:color w:val="141B2E"/>
          <w:sz w:val="21"/>
        </w:rPr>
        <w:t xml:space="preserve"> class reads a classic </w:t>
      </w:r>
      <w:r>
        <w:rPr>
          <w:rFonts w:ascii="Consolas" w:hAnsi="Consolas"/>
          <w:color w:val="102A54"/>
          <w:sz w:val="20"/>
        </w:rPr>
        <w:t>.properties</w:t>
      </w:r>
      <w:r>
        <w:rPr>
          <w:rFonts w:ascii="Calibri" w:hAnsi="Calibri"/>
          <w:i w:val="0"/>
          <w:color w:val="141B2E"/>
          <w:sz w:val="21"/>
        </w:rPr>
        <w:t xml:space="preserve"> file. Both expose the same keys via </w:t>
      </w:r>
      <w:r>
        <w:rPr>
          <w:rFonts w:ascii="Consolas" w:hAnsi="Consolas"/>
          <w:color w:val="102A54"/>
          <w:sz w:val="20"/>
        </w:rPr>
        <w:t>getProperty(...)</w:t>
      </w:r>
      <w:r>
        <w:rPr>
          <w:rFonts w:ascii="Calibri" w:hAnsi="Calibri"/>
          <w:i w:val="0"/>
          <w:color w:val="141B2E"/>
          <w:sz w:val="21"/>
        </w:rPr>
        <w:t xml:space="preserve">. The properties the worker reads, with the values that define a </w:t>
      </w:r>
      <w:r>
        <w:rPr>
          <w:rFonts w:ascii="Calibri" w:hAnsi="Calibri"/>
          <w:b/>
          <w:i w:val="0"/>
          <w:color w:val="141B2E"/>
          <w:sz w:val="21"/>
        </w:rPr>
        <w:t>deployed advisory (inference) service</w:t>
      </w:r>
      <w:r>
        <w:rPr>
          <w:rFonts w:ascii="Calibri" w:hAnsi="Calibri"/>
          <w:i w:val="0"/>
          <w:color w:val="141B2E"/>
          <w:sz w:val="21"/>
        </w:rPr>
        <w:t>:</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4586"/>
        <w:gridCol w:w="4586"/>
      </w:tblGrid>
      <w:tr>
        <w:tc>
          <w:tcPr>
            <w:tcW w:type="dxa" w:w="4608"/>
            <w:shd w:val="clear" w:color="auto" w:fill="0E7C86"/>
            <w:tcMar>
              <w:top w:w="60" w:type="dxa"/>
              <w:bottom w:w="60" w:type="dxa"/>
              <w:start w:w="110" w:type="dxa"/>
              <w:end w:w="110" w:type="dxa"/>
            </w:tcMar>
            <w:vAlign w:val="center"/>
          </w:tcPr>
          <w:p>
            <w:pPr>
              <w:spacing w:after="0"/>
            </w:pPr>
            <w:r>
              <w:rPr>
                <w:rFonts w:ascii="Calibri" w:hAnsi="Calibri"/>
                <w:b/>
                <w:color w:val="FFFFFF"/>
                <w:sz w:val="19"/>
              </w:rPr>
              <w:t>Property</w:t>
            </w:r>
          </w:p>
        </w:tc>
        <w:tc>
          <w:tcPr>
            <w:tcW w:type="dxa" w:w="5184"/>
            <w:shd w:val="clear" w:color="auto" w:fill="0E7C86"/>
            <w:tcMar>
              <w:top w:w="60" w:type="dxa"/>
              <w:bottom w:w="60" w:type="dxa"/>
              <w:start w:w="110" w:type="dxa"/>
              <w:end w:w="110" w:type="dxa"/>
            </w:tcMar>
            <w:vAlign w:val="center"/>
          </w:tcPr>
          <w:p>
            <w:pPr>
              <w:spacing w:after="0"/>
            </w:pPr>
            <w:r>
              <w:rPr>
                <w:rFonts w:ascii="Calibri" w:hAnsi="Calibri"/>
                <w:b/>
                <w:color w:val="FFFFFF"/>
                <w:sz w:val="19"/>
              </w:rPr>
              <w:t>Purpose / advisory value</w:t>
            </w:r>
          </w:p>
        </w:tc>
      </w:tr>
      <w:tr>
        <w:tc>
          <w:tcPr>
            <w:tcW w:type="dxa" w:w="4608"/>
            <w:shd w:val="clear" w:color="auto" w:fill="F4F7FB"/>
            <w:tcMar>
              <w:top w:w="60" w:type="dxa"/>
              <w:bottom w:w="60" w:type="dxa"/>
              <w:start w:w="110" w:type="dxa"/>
              <w:end w:w="110" w:type="dxa"/>
            </w:tcMar>
            <w:vAlign w:val="center"/>
          </w:tcPr>
          <w:p>
            <w:pPr>
              <w:spacing w:after="0" w:line="252" w:lineRule="auto"/>
            </w:pPr>
            <w:r>
              <w:rPr>
                <w:rFonts w:ascii="Consolas" w:hAnsi="Consolas"/>
                <w:color w:val="102A54"/>
                <w:sz w:val="18"/>
              </w:rPr>
              <w:t>configuration.input.layermeta</w:t>
            </w:r>
          </w:p>
        </w:tc>
        <w:tc>
          <w:tcPr>
            <w:tcW w:type="dxa" w:w="518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Directory of the generated per-layer structure files</w:t>
            </w:r>
          </w:p>
        </w:tc>
      </w:tr>
      <w:tr>
        <w:tc>
          <w:tcPr>
            <w:tcW w:type="dxa" w:w="4608"/>
            <w:shd w:val="clear" w:color="auto" w:fill="FFFFFF"/>
            <w:tcMar>
              <w:top w:w="60" w:type="dxa"/>
              <w:bottom w:w="60" w:type="dxa"/>
              <w:start w:w="110" w:type="dxa"/>
              <w:end w:w="110" w:type="dxa"/>
            </w:tcMar>
            <w:vAlign w:val="center"/>
          </w:tcPr>
          <w:p>
            <w:pPr>
              <w:spacing w:after="0" w:line="252" w:lineRule="auto"/>
            </w:pPr>
            <w:r>
              <w:rPr>
                <w:rFonts w:ascii="Consolas" w:hAnsi="Consolas"/>
                <w:color w:val="102A54"/>
                <w:sz w:val="18"/>
              </w:rPr>
              <w:t>configuration.neuronnet.classes</w:t>
            </w:r>
          </w:p>
        </w:tc>
        <w:tc>
          <w:tcPr>
            <w:tcW w:type="dxa" w:w="518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CSV of runtime classes that must exist in the JAR (validated at startup)</w:t>
            </w:r>
          </w:p>
        </w:tc>
      </w:tr>
      <w:tr>
        <w:tc>
          <w:tcPr>
            <w:tcW w:type="dxa" w:w="4608"/>
            <w:shd w:val="clear" w:color="auto" w:fill="F4F7FB"/>
            <w:tcMar>
              <w:top w:w="60" w:type="dxa"/>
              <w:bottom w:w="60" w:type="dxa"/>
              <w:start w:w="110" w:type="dxa"/>
              <w:end w:w="110" w:type="dxa"/>
            </w:tcMar>
            <w:vAlign w:val="center"/>
          </w:tcPr>
          <w:p>
            <w:pPr>
              <w:spacing w:after="0" w:line="252" w:lineRule="auto"/>
            </w:pPr>
            <w:r>
              <w:rPr>
                <w:rFonts w:ascii="Consolas" w:hAnsi="Consolas"/>
                <w:color w:val="102A54"/>
                <w:sz w:val="18"/>
              </w:rPr>
              <w:t>configuration.input.inputs</w:t>
            </w:r>
          </w:p>
        </w:tc>
        <w:tc>
          <w:tcPr>
            <w:tcW w:type="dxa" w:w="518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 xml:space="preserve">Event sources — an </w:t>
            </w:r>
            <w:r>
              <w:rPr>
                <w:rFonts w:ascii="Consolas" w:hAnsi="Consolas"/>
                <w:color w:val="102A54"/>
                <w:sz w:val="18"/>
              </w:rPr>
              <w:t>InputArray</w:t>
            </w:r>
            <w:r>
              <w:rPr>
                <w:rFonts w:ascii="Calibri" w:hAnsi="Calibri"/>
                <w:i w:val="0"/>
                <w:color w:val="141B2E"/>
                <w:sz w:val="19"/>
              </w:rPr>
              <w:t xml:space="preserve"> of </w:t>
            </w:r>
            <w:r>
              <w:rPr>
                <w:rFonts w:ascii="Consolas" w:hAnsi="Consolas"/>
                <w:color w:val="102A54"/>
                <w:sz w:val="18"/>
              </w:rPr>
              <w:t>IInitInput</w:t>
            </w:r>
            <w:r>
              <w:rPr>
                <w:rFonts w:ascii="Calibri" w:hAnsi="Calibri"/>
                <w:i w:val="0"/>
                <w:color w:val="141B2E"/>
                <w:sz w:val="19"/>
              </w:rPr>
              <w:t xml:space="preserve"> bindings</w:t>
            </w:r>
          </w:p>
        </w:tc>
      </w:tr>
      <w:tr>
        <w:tc>
          <w:tcPr>
            <w:tcW w:type="dxa" w:w="4608"/>
            <w:shd w:val="clear" w:color="auto" w:fill="FFFFFF"/>
            <w:tcMar>
              <w:top w:w="60" w:type="dxa"/>
              <w:bottom w:w="60" w:type="dxa"/>
              <w:start w:w="110" w:type="dxa"/>
              <w:end w:w="110" w:type="dxa"/>
            </w:tcMar>
            <w:vAlign w:val="center"/>
          </w:tcPr>
          <w:p>
            <w:pPr>
              <w:spacing w:after="0" w:line="252" w:lineRule="auto"/>
            </w:pPr>
            <w:r>
              <w:rPr>
                <w:rFonts w:ascii="Consolas" w:hAnsi="Consolas"/>
                <w:color w:val="102A54"/>
                <w:sz w:val="18"/>
              </w:rPr>
              <w:t>configuration.outputAggregator</w:t>
            </w:r>
          </w:p>
        </w:tc>
        <w:tc>
          <w:tcPr>
            <w:tcW w:type="dxa" w:w="5184"/>
            <w:shd w:val="clear" w:color="auto" w:fill="FFFFFF"/>
            <w:tcMar>
              <w:top w:w="60" w:type="dxa"/>
              <w:bottom w:w="60" w:type="dxa"/>
              <w:start w:w="110" w:type="dxa"/>
              <w:end w:w="110" w:type="dxa"/>
            </w:tcMar>
            <w:vAlign w:val="center"/>
          </w:tcPr>
          <w:p>
            <w:pPr>
              <w:spacing w:after="0" w:line="252" w:lineRule="auto"/>
            </w:pPr>
            <w:r>
              <w:rPr>
                <w:rFonts w:ascii="Consolas" w:hAnsi="Consolas"/>
                <w:color w:val="102A54"/>
                <w:sz w:val="18"/>
              </w:rPr>
              <w:t>IOutputAggregator</w:t>
            </w:r>
            <w:r>
              <w:rPr>
                <w:rFonts w:ascii="Calibri" w:hAnsi="Calibri"/>
                <w:i w:val="0"/>
                <w:color w:val="141B2E"/>
                <w:sz w:val="19"/>
              </w:rPr>
              <w:t xml:space="preserve"> class that receives every advisory</w:t>
            </w:r>
          </w:p>
        </w:tc>
      </w:tr>
      <w:tr>
        <w:tc>
          <w:tcPr>
            <w:tcW w:type="dxa" w:w="4608"/>
            <w:shd w:val="clear" w:color="auto" w:fill="F4F7FB"/>
            <w:tcMar>
              <w:top w:w="60" w:type="dxa"/>
              <w:bottom w:w="60" w:type="dxa"/>
              <w:start w:w="110" w:type="dxa"/>
              <w:end w:w="110" w:type="dxa"/>
            </w:tcMar>
            <w:vAlign w:val="center"/>
          </w:tcPr>
          <w:p>
            <w:pPr>
              <w:spacing w:after="0" w:line="252" w:lineRule="auto"/>
            </w:pPr>
            <w:r>
              <w:rPr>
                <w:rFonts w:ascii="Consolas" w:hAnsi="Consolas"/>
                <w:color w:val="102A54"/>
                <w:sz w:val="18"/>
              </w:rPr>
              <w:t>configuration.storage.json</w:t>
            </w:r>
          </w:p>
        </w:tc>
        <w:tc>
          <w:tcPr>
            <w:tcW w:type="dxa" w:w="5184"/>
            <w:shd w:val="clear" w:color="auto" w:fill="F4F7FB"/>
            <w:tcMar>
              <w:top w:w="60" w:type="dxa"/>
              <w:bottom w:w="60" w:type="dxa"/>
              <w:start w:w="110" w:type="dxa"/>
              <w:end w:w="110" w:type="dxa"/>
            </w:tcMar>
            <w:vAlign w:val="center"/>
          </w:tcPr>
          <w:p>
            <w:pPr>
              <w:spacing w:after="0" w:line="252" w:lineRule="auto"/>
            </w:pPr>
            <w:r>
              <w:rPr>
                <w:rFonts w:ascii="Consolas" w:hAnsi="Consolas"/>
                <w:color w:val="102A54"/>
                <w:sz w:val="18"/>
              </w:rPr>
              <w:t>IStorage</w:t>
            </w:r>
            <w:r>
              <w:rPr>
                <w:rFonts w:ascii="Calibri" w:hAnsi="Calibri"/>
                <w:i w:val="0"/>
                <w:color w:val="141B2E"/>
                <w:sz w:val="19"/>
              </w:rPr>
              <w:t xml:space="preserve"> definition (filesystem state for neuron / history dumps)</w:t>
            </w:r>
          </w:p>
        </w:tc>
      </w:tr>
      <w:tr>
        <w:tc>
          <w:tcPr>
            <w:tcW w:type="dxa" w:w="4608"/>
            <w:shd w:val="clear" w:color="auto" w:fill="FFFFFF"/>
            <w:tcMar>
              <w:top w:w="60" w:type="dxa"/>
              <w:bottom w:w="60" w:type="dxa"/>
              <w:start w:w="110" w:type="dxa"/>
              <w:end w:w="110" w:type="dxa"/>
            </w:tcMar>
            <w:vAlign w:val="center"/>
          </w:tcPr>
          <w:p>
            <w:pPr>
              <w:spacing w:after="0" w:line="252" w:lineRule="auto"/>
            </w:pPr>
            <w:r>
              <w:rPr>
                <w:rFonts w:ascii="Consolas" w:hAnsi="Consolas"/>
                <w:color w:val="102A54"/>
                <w:sz w:val="18"/>
              </w:rPr>
              <w:t>configuration.processing.frequency.map</w:t>
            </w:r>
          </w:p>
        </w:tc>
        <w:tc>
          <w:tcPr>
            <w:tcW w:type="dxa" w:w="518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 xml:space="preserve">Per-signal </w:t>
            </w:r>
            <w:r>
              <w:rPr>
                <w:rFonts w:ascii="Consolas" w:hAnsi="Consolas"/>
                <w:color w:val="102A54"/>
                <w:sz w:val="18"/>
              </w:rPr>
              <w:t>{epoch, loop}</w:t>
            </w:r>
            <w:r>
              <w:rPr>
                <w:rFonts w:ascii="Calibri" w:hAnsi="Calibri"/>
                <w:i w:val="0"/>
                <w:color w:val="141B2E"/>
                <w:sz w:val="19"/>
              </w:rPr>
              <w:t xml:space="preserve"> cadence (from the descriptor)</w:t>
            </w:r>
          </w:p>
        </w:tc>
      </w:tr>
      <w:tr>
        <w:tc>
          <w:tcPr>
            <w:tcW w:type="dxa" w:w="4608"/>
            <w:shd w:val="clear" w:color="auto" w:fill="F4F7FB"/>
            <w:tcMar>
              <w:top w:w="60" w:type="dxa"/>
              <w:bottom w:w="60" w:type="dxa"/>
              <w:start w:w="110" w:type="dxa"/>
              <w:end w:w="110" w:type="dxa"/>
            </w:tcMar>
            <w:vAlign w:val="center"/>
          </w:tcPr>
          <w:p>
            <w:pPr>
              <w:spacing w:after="0" w:line="252" w:lineRule="auto"/>
            </w:pPr>
            <w:r>
              <w:rPr>
                <w:rFonts w:ascii="Consolas" w:hAnsi="Consolas"/>
                <w:color w:val="102A54"/>
                <w:sz w:val="18"/>
              </w:rPr>
              <w:t>configuration.slowfast.ratio</w:t>
            </w:r>
          </w:p>
        </w:tc>
        <w:tc>
          <w:tcPr>
            <w:tcW w:type="dxa" w:w="518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Fast-to-slow loop ratio (N)</w:t>
            </w:r>
          </w:p>
        </w:tc>
      </w:tr>
      <w:tr>
        <w:tc>
          <w:tcPr>
            <w:tcW w:type="dxa" w:w="4608"/>
            <w:shd w:val="clear" w:color="auto" w:fill="FFFFFF"/>
            <w:tcMar>
              <w:top w:w="60" w:type="dxa"/>
              <w:bottom w:w="60" w:type="dxa"/>
              <w:start w:w="110" w:type="dxa"/>
              <w:end w:w="110" w:type="dxa"/>
            </w:tcMar>
            <w:vAlign w:val="center"/>
          </w:tcPr>
          <w:p>
            <w:pPr>
              <w:spacing w:after="0" w:line="252" w:lineRule="auto"/>
            </w:pPr>
            <w:r>
              <w:rPr>
                <w:rFonts w:ascii="Consolas" w:hAnsi="Consolas"/>
                <w:color w:val="102A54"/>
                <w:sz w:val="18"/>
              </w:rPr>
              <w:t>configuration.history.slow.runs</w:t>
            </w:r>
            <w:r>
              <w:rPr>
                <w:rFonts w:ascii="Calibri" w:hAnsi="Calibri"/>
                <w:i w:val="0"/>
                <w:color w:val="141B2E"/>
                <w:sz w:val="19"/>
              </w:rPr>
              <w:t xml:space="preserve"> / </w:t>
            </w:r>
            <w:r>
              <w:rPr>
                <w:rFonts w:ascii="Consolas" w:hAnsi="Consolas"/>
                <w:color w:val="102A54"/>
                <w:sz w:val="18"/>
              </w:rPr>
              <w:t>.fast.runs</w:t>
            </w:r>
          </w:p>
        </w:tc>
        <w:tc>
          <w:tcPr>
            <w:tcW w:type="dxa" w:w="518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Signal-history depth for the slow / fast loop</w:t>
            </w:r>
          </w:p>
        </w:tc>
      </w:tr>
      <w:tr>
        <w:tc>
          <w:tcPr>
            <w:tcW w:type="dxa" w:w="4608"/>
            <w:shd w:val="clear" w:color="auto" w:fill="F4F7FB"/>
            <w:tcMar>
              <w:top w:w="60" w:type="dxa"/>
              <w:bottom w:w="60" w:type="dxa"/>
              <w:start w:w="110" w:type="dxa"/>
              <w:end w:w="110" w:type="dxa"/>
            </w:tcMar>
            <w:vAlign w:val="center"/>
          </w:tcPr>
          <w:p>
            <w:pPr>
              <w:spacing w:after="0" w:line="252" w:lineRule="auto"/>
            </w:pPr>
            <w:r>
              <w:rPr>
                <w:rFonts w:ascii="Consolas" w:hAnsi="Consolas"/>
                <w:color w:val="102A54"/>
                <w:sz w:val="18"/>
              </w:rPr>
              <w:t>configuration.isteacherstudying</w:t>
            </w:r>
          </w:p>
        </w:tc>
        <w:tc>
          <w:tcPr>
            <w:tcW w:type="dxa" w:w="5184"/>
            <w:shd w:val="clear" w:color="auto" w:fill="F4F7FB"/>
            <w:tcMar>
              <w:top w:w="60" w:type="dxa"/>
              <w:bottom w:w="60" w:type="dxa"/>
              <w:start w:w="110" w:type="dxa"/>
              <w:end w:w="110" w:type="dxa"/>
            </w:tcMar>
            <w:vAlign w:val="center"/>
          </w:tcPr>
          <w:p>
            <w:pPr>
              <w:spacing w:after="0" w:line="252" w:lineRule="auto"/>
            </w:pPr>
            <w:r>
              <w:rPr>
                <w:rFonts w:ascii="Calibri" w:hAnsi="Calibri"/>
                <w:b/>
                <w:i w:val="0"/>
                <w:color w:val="141B2E"/>
                <w:sz w:val="19"/>
              </w:rPr>
              <w:t>`false`</w:t>
            </w:r>
            <w:r>
              <w:rPr>
                <w:rFonts w:ascii="Calibri" w:hAnsi="Calibri"/>
                <w:i w:val="0"/>
                <w:color w:val="141B2E"/>
                <w:sz w:val="19"/>
              </w:rPr>
              <w:t xml:space="preserve"> for a deployed advisory worker; </w:t>
            </w:r>
            <w:r>
              <w:rPr>
                <w:rFonts w:ascii="Consolas" w:hAnsi="Consolas"/>
                <w:color w:val="102A54"/>
                <w:sz w:val="18"/>
              </w:rPr>
              <w:t>true</w:t>
            </w:r>
            <w:r>
              <w:rPr>
                <w:rFonts w:ascii="Calibri" w:hAnsi="Calibri"/>
                <w:i w:val="0"/>
                <w:color w:val="141B2E"/>
                <w:sz w:val="19"/>
              </w:rPr>
              <w:t xml:space="preserve"> only to teach/learn</w:t>
            </w:r>
          </w:p>
        </w:tc>
      </w:tr>
      <w:tr>
        <w:tc>
          <w:tcPr>
            <w:tcW w:type="dxa" w:w="4608"/>
            <w:shd w:val="clear" w:color="auto" w:fill="FFFFFF"/>
            <w:tcMar>
              <w:top w:w="60" w:type="dxa"/>
              <w:bottom w:w="60" w:type="dxa"/>
              <w:start w:w="110" w:type="dxa"/>
              <w:end w:w="110" w:type="dxa"/>
            </w:tcMar>
            <w:vAlign w:val="center"/>
          </w:tcPr>
          <w:p>
            <w:pPr>
              <w:spacing w:after="0" w:line="252" w:lineRule="auto"/>
            </w:pPr>
            <w:r>
              <w:rPr>
                <w:rFonts w:ascii="Consolas" w:hAnsi="Consolas"/>
                <w:color w:val="102A54"/>
                <w:sz w:val="18"/>
              </w:rPr>
              <w:t>configuration.infiniteRun</w:t>
            </w:r>
          </w:p>
        </w:tc>
        <w:tc>
          <w:tcPr>
            <w:tcW w:type="dxa" w:w="5184"/>
            <w:shd w:val="clear" w:color="auto" w:fill="FFFFFF"/>
            <w:tcMar>
              <w:top w:w="60" w:type="dxa"/>
              <w:bottom w:w="60" w:type="dxa"/>
              <w:start w:w="110" w:type="dxa"/>
              <w:end w:w="110" w:type="dxa"/>
            </w:tcMar>
            <w:vAlign w:val="center"/>
          </w:tcPr>
          <w:p>
            <w:pPr>
              <w:spacing w:after="0" w:line="252" w:lineRule="auto"/>
            </w:pPr>
            <w:r>
              <w:rPr>
                <w:rFonts w:ascii="Calibri" w:hAnsi="Calibri"/>
                <w:b/>
                <w:i w:val="0"/>
                <w:color w:val="141B2E"/>
                <w:sz w:val="19"/>
              </w:rPr>
              <w:t>`true`</w:t>
            </w:r>
            <w:r>
              <w:rPr>
                <w:rFonts w:ascii="Calibri" w:hAnsi="Calibri"/>
                <w:i w:val="0"/>
                <w:color w:val="141B2E"/>
                <w:sz w:val="19"/>
              </w:rPr>
              <w:t xml:space="preserve"> for a continuous streaming service</w:t>
            </w:r>
          </w:p>
        </w:tc>
      </w:tr>
      <w:tr>
        <w:tc>
          <w:tcPr>
            <w:tcW w:type="dxa" w:w="4608"/>
            <w:shd w:val="clear" w:color="auto" w:fill="F4F7FB"/>
            <w:tcMar>
              <w:top w:w="60" w:type="dxa"/>
              <w:bottom w:w="60" w:type="dxa"/>
              <w:start w:w="110" w:type="dxa"/>
              <w:end w:w="110" w:type="dxa"/>
            </w:tcMar>
            <w:vAlign w:val="center"/>
          </w:tcPr>
          <w:p>
            <w:pPr>
              <w:spacing w:after="0" w:line="252" w:lineRule="auto"/>
            </w:pPr>
            <w:r>
              <w:rPr>
                <w:rFonts w:ascii="Consolas" w:hAnsi="Consolas"/>
                <w:color w:val="102A54"/>
                <w:sz w:val="18"/>
              </w:rPr>
              <w:t>configuration.maxRun</w:t>
            </w:r>
          </w:p>
        </w:tc>
        <w:tc>
          <w:tcPr>
            <w:tcW w:type="dxa" w:w="518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Run count when not infinite (batch replay)</w:t>
            </w:r>
          </w:p>
        </w:tc>
      </w:tr>
      <w:tr>
        <w:tc>
          <w:tcPr>
            <w:tcW w:type="dxa" w:w="4608"/>
            <w:shd w:val="clear" w:color="auto" w:fill="FFFFFF"/>
            <w:tcMar>
              <w:top w:w="60" w:type="dxa"/>
              <w:bottom w:w="60" w:type="dxa"/>
              <w:start w:w="110" w:type="dxa"/>
              <w:end w:w="110" w:type="dxa"/>
            </w:tcMar>
            <w:vAlign w:val="center"/>
          </w:tcPr>
          <w:p>
            <w:pPr>
              <w:spacing w:after="0" w:line="252" w:lineRule="auto"/>
            </w:pPr>
            <w:r>
              <w:rPr>
                <w:rFonts w:ascii="Consolas" w:hAnsi="Consolas"/>
                <w:color w:val="102A54"/>
                <w:sz w:val="18"/>
              </w:rPr>
              <w:t>configuration.runoncein</w:t>
            </w:r>
          </w:p>
        </w:tc>
        <w:tc>
          <w:tcPr>
            <w:tcW w:type="dxa" w:w="518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Milliseconds to sleep between cycles (poll cadence)</w:t>
            </w:r>
          </w:p>
        </w:tc>
      </w:tr>
      <w:tr>
        <w:tc>
          <w:tcPr>
            <w:tcW w:type="dxa" w:w="4608"/>
            <w:shd w:val="clear" w:color="auto" w:fill="F4F7FB"/>
            <w:tcMar>
              <w:top w:w="60" w:type="dxa"/>
              <w:bottom w:w="60" w:type="dxa"/>
              <w:start w:w="110" w:type="dxa"/>
              <w:end w:w="110" w:type="dxa"/>
            </w:tcMar>
            <w:vAlign w:val="center"/>
          </w:tcPr>
          <w:p>
            <w:pPr>
              <w:spacing w:after="0" w:line="252" w:lineRule="auto"/>
            </w:pPr>
            <w:r>
              <w:rPr>
                <w:rFonts w:ascii="Consolas" w:hAnsi="Consolas"/>
                <w:color w:val="102A54"/>
                <w:sz w:val="18"/>
              </w:rPr>
              <w:t>configuration.discriminatorsAmount</w:t>
            </w:r>
          </w:p>
        </w:tc>
        <w:tc>
          <w:tcPr>
            <w:tcW w:type="dxa" w:w="5184"/>
            <w:shd w:val="clear" w:color="auto" w:fill="F4F7FB"/>
            <w:tcMar>
              <w:top w:w="60" w:type="dxa"/>
              <w:bottom w:w="60" w:type="dxa"/>
              <w:start w:w="110" w:type="dxa"/>
              <w:end w:w="110" w:type="dxa"/>
            </w:tcMar>
            <w:vAlign w:val="center"/>
          </w:tcPr>
          <w:p>
            <w:pPr>
              <w:spacing w:after="0" w:line="252" w:lineRule="auto"/>
            </w:pPr>
            <w:r>
              <w:rPr>
                <w:rFonts w:ascii="Calibri" w:hAnsi="Calibri"/>
                <w:b/>
                <w:i w:val="0"/>
                <w:color w:val="141B2E"/>
                <w:sz w:val="19"/>
              </w:rPr>
              <w:t>`0`</w:t>
            </w:r>
            <w:r>
              <w:rPr>
                <w:rFonts w:ascii="Calibri" w:hAnsi="Calibri"/>
                <w:i w:val="0"/>
                <w:color w:val="141B2E"/>
                <w:sz w:val="19"/>
              </w:rPr>
              <w:t xml:space="preserve"> for a plain advisory worker</w:t>
            </w:r>
          </w:p>
        </w:tc>
      </w:tr>
      <w:tr>
        <w:tc>
          <w:tcPr>
            <w:tcW w:type="dxa" w:w="4608"/>
            <w:shd w:val="clear" w:color="auto" w:fill="FFFFFF"/>
            <w:tcMar>
              <w:top w:w="60" w:type="dxa"/>
              <w:bottom w:w="60" w:type="dxa"/>
              <w:start w:w="110" w:type="dxa"/>
              <w:end w:w="110" w:type="dxa"/>
            </w:tcMar>
            <w:vAlign w:val="center"/>
          </w:tcPr>
          <w:p>
            <w:pPr>
              <w:spacing w:after="0" w:line="252" w:lineRule="auto"/>
            </w:pPr>
            <w:r>
              <w:rPr>
                <w:rFonts w:ascii="Consolas" w:hAnsi="Consolas"/>
                <w:color w:val="102A54"/>
                <w:sz w:val="18"/>
              </w:rPr>
              <w:t>worker.threads.amount</w:t>
            </w:r>
          </w:p>
        </w:tc>
        <w:tc>
          <w:tcPr>
            <w:tcW w:type="dxa" w:w="518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Worker threads per layer</w:t>
            </w:r>
          </w:p>
        </w:tc>
      </w:tr>
    </w:tbl>
    <w:p>
      <w:pPr>
        <w:spacing w:after="0" w:before="0"/>
      </w:pPr>
      <w:r>
        <w:rPr>
          <w:sz w:val="12"/>
        </w:rPr>
      </w:r>
    </w:p>
    <w:tbl>
      <w:tblPr>
        <w:tblW w:type="auto" w:w="0"/>
        <w:jc w:val="center"/>
        <w:tblLook w:firstColumn="1" w:firstRow="1" w:lastColumn="0" w:lastRow="0" w:noHBand="0" w:noVBand="1" w:val="04A0"/>
        <w:tblBorders>
          <w:top w:val="single" w:sz="4" w:space="0" w:color="E8F3EC"/>
          <w:left w:val="single" w:sz="4" w:space="0" w:color="E8F3EC"/>
          <w:bottom w:val="single" w:sz="4" w:space="0" w:color="E8F3EC"/>
          <w:right w:val="single" w:sz="4" w:space="0" w:color="E8F3EC"/>
          <w:insideH w:val="single" w:sz="4" w:space="0" w:color="E8F3EC"/>
          <w:insideV w:val="single" w:sz="4" w:space="0" w:color="E8F3EC"/>
        </w:tblBorders>
      </w:tblPr>
      <w:tblGrid>
        <w:gridCol w:w="9173"/>
      </w:tblGrid>
      <w:tr>
        <w:tc>
          <w:tcPr>
            <w:tcW w:type="dxa" w:w="9173"/>
            <w:shd w:val="clear" w:color="auto" w:fill="E8F3EC"/>
            <w:tcMar>
              <w:top w:w="120" w:type="dxa"/>
              <w:bottom w:w="120" w:type="dxa"/>
              <w:start w:w="160" w:type="dxa"/>
              <w:end w:w="160" w:type="dxa"/>
            </w:tcMar>
            <w:tcBorders>
              <w:left w:val="single" w:sz="24" w:space="0" w:color="1F7A3D"/>
            </w:tcBorders>
          </w:tcPr>
          <w:p>
            <w:pPr>
              <w:spacing w:after="60"/>
            </w:pPr>
            <w:r>
              <w:rPr>
                <w:rFonts w:ascii="Calibri" w:hAnsi="Calibri"/>
                <w:b/>
                <w:color w:val="1F7A3D"/>
                <w:sz w:val="21"/>
              </w:rPr>
              <w:t>Inference vs. teaching mode</w:t>
            </w:r>
          </w:p>
          <w:p>
            <w:pPr>
              <w:spacing w:after="0"/>
            </w:pPr>
            <w:r>
              <w:rPr>
                <w:rFonts w:ascii="Calibri" w:hAnsi="Calibri"/>
                <w:i w:val="0"/>
                <w:color w:val="141B2E"/>
                <w:sz w:val="20"/>
              </w:rPr>
              <w:t xml:space="preserve">Set </w:t>
            </w:r>
            <w:r>
              <w:rPr>
                <w:rFonts w:ascii="Consolas" w:hAnsi="Consolas"/>
                <w:color w:val="102A54"/>
                <w:sz w:val="19"/>
              </w:rPr>
              <w:t>configuration.isteacherstudying=false</w:t>
            </w:r>
            <w:r>
              <w:rPr>
                <w:rFonts w:ascii="Calibri" w:hAnsi="Calibri"/>
                <w:i w:val="0"/>
                <w:color w:val="141B2E"/>
                <w:sz w:val="20"/>
              </w:rPr>
              <w:t xml:space="preserve"> with </w:t>
            </w:r>
            <w:r>
              <w:rPr>
                <w:rFonts w:ascii="Consolas" w:hAnsi="Consolas"/>
                <w:color w:val="102A54"/>
                <w:sz w:val="19"/>
              </w:rPr>
              <w:t>discriminatorsAmount=0</w:t>
            </w:r>
            <w:r>
              <w:rPr>
                <w:rFonts w:ascii="Calibri" w:hAnsi="Calibri"/>
                <w:i w:val="0"/>
                <w:color w:val="141B2E"/>
                <w:sz w:val="20"/>
              </w:rPr>
              <w:t xml:space="preserve"> and </w:t>
            </w:r>
            <w:r>
              <w:rPr>
                <w:rFonts w:ascii="Consolas" w:hAnsi="Consolas"/>
                <w:color w:val="102A54"/>
                <w:sz w:val="19"/>
              </w:rPr>
              <w:t>infiniteRun=true</w:t>
            </w:r>
            <w:r>
              <w:rPr>
                <w:rFonts w:ascii="Calibri" w:hAnsi="Calibri"/>
                <w:i w:val="0"/>
                <w:color w:val="141B2E"/>
                <w:sz w:val="20"/>
              </w:rPr>
              <w:t>. This puts the worker into its continuous advisory loop: pull signals from the event sources → run the trained net → write advisories through the aggregator → repeat. Teaching mode (</w:t>
            </w:r>
            <w:r>
              <w:rPr>
                <w:rFonts w:ascii="Consolas" w:hAnsi="Consolas"/>
                <w:color w:val="102A54"/>
                <w:sz w:val="19"/>
              </w:rPr>
              <w:t>true</w:t>
            </w:r>
            <w:r>
              <w:rPr>
                <w:rFonts w:ascii="Calibri" w:hAnsi="Calibri"/>
                <w:i w:val="0"/>
                <w:color w:val="141B2E"/>
                <w:sz w:val="20"/>
              </w:rPr>
              <w:t>) is for training, not for a live detector.</w:t>
            </w:r>
          </w:p>
        </w:tc>
      </w:tr>
    </w:tbl>
    <w:p>
      <w:pPr>
        <w:spacing w:after="0" w:before="0"/>
      </w:pPr>
      <w:r>
        <w:rPr>
          <w:sz w:val="12"/>
        </w:rPr>
      </w:r>
    </w:p>
    <w:p>
      <w:pPr>
        <w:keepNext/>
        <w:spacing w:before="320" w:after="40"/>
        <w:pBdr>
          <w:bottom w:val="single" w:sz="10" w:space="4" w:color="0E7C86"/>
        </w:pBdr>
      </w:pPr>
      <w:r>
        <w:rPr>
          <w:rFonts w:ascii="Calibri" w:hAnsi="Calibri"/>
          <w:b/>
          <w:color w:val="0E7C86"/>
          <w:sz w:val="34"/>
        </w:rPr>
        <w:t xml:space="preserve">8  </w:t>
      </w:r>
      <w:r>
        <w:rPr>
          <w:rFonts w:ascii="Calibri" w:hAnsi="Calibri"/>
          <w:b/>
          <w:color w:val="102A54"/>
          <w:sz w:val="34"/>
        </w:rPr>
        <w:t>Configure event sources and streaming input</w:t>
      </w:r>
    </w:p>
    <w:p>
      <w:pPr>
        <w:spacing w:after="120"/>
      </w:pPr>
      <w:r>
        <w:rPr>
          <w:rFonts w:ascii="Calibri" w:hAnsi="Calibri"/>
          <w:i w:val="0"/>
          <w:color w:val="141B2E"/>
          <w:sz w:val="21"/>
        </w:rPr>
        <w:t xml:space="preserve">Event sources are where production telemetry enters the net. </w:t>
      </w:r>
      <w:r>
        <w:rPr>
          <w:rFonts w:ascii="Consolas" w:hAnsi="Consolas"/>
          <w:color w:val="102A54"/>
          <w:sz w:val="20"/>
        </w:rPr>
        <w:t>configuration.input.inputs</w:t>
      </w:r>
      <w:r>
        <w:rPr>
          <w:rFonts w:ascii="Calibri" w:hAnsi="Calibri"/>
          <w:i w:val="0"/>
          <w:color w:val="141B2E"/>
          <w:sz w:val="21"/>
        </w:rPr>
        <w:t xml:space="preserve"> is an </w:t>
      </w:r>
      <w:r>
        <w:rPr>
          <w:rFonts w:ascii="Consolas" w:hAnsi="Consolas"/>
          <w:color w:val="102A54"/>
          <w:sz w:val="20"/>
        </w:rPr>
        <w:t>InputArray</w:t>
      </w:r>
      <w:r>
        <w:rPr>
          <w:rFonts w:ascii="Calibri" w:hAnsi="Calibri"/>
          <w:i w:val="0"/>
          <w:color w:val="141B2E"/>
          <w:sz w:val="21"/>
        </w:rPr>
        <w:t xml:space="preserve"> of one or more sources; each binds an </w:t>
      </w:r>
      <w:r>
        <w:rPr>
          <w:rFonts w:ascii="Consolas" w:hAnsi="Consolas"/>
          <w:color w:val="102A54"/>
          <w:sz w:val="20"/>
        </w:rPr>
        <w:t>IInitInput</w:t>
      </w:r>
      <w:r>
        <w:rPr>
          <w:rFonts w:ascii="Calibri" w:hAnsi="Calibri"/>
          <w:i w:val="0"/>
          <w:color w:val="141B2E"/>
          <w:sz w:val="21"/>
        </w:rPr>
        <w:t xml:space="preserve"> (the source) to an </w:t>
      </w:r>
      <w:r>
        <w:rPr>
          <w:rFonts w:ascii="Consolas" w:hAnsi="Consolas"/>
          <w:color w:val="102A54"/>
          <w:sz w:val="20"/>
        </w:rPr>
        <w:t>InputInitStrategy</w:t>
      </w:r>
      <w:r>
        <w:rPr>
          <w:rFonts w:ascii="Calibri" w:hAnsi="Calibri"/>
          <w:i w:val="0"/>
          <w:color w:val="141B2E"/>
          <w:sz w:val="21"/>
        </w:rPr>
        <w:t xml:space="preserve"> (how its signals are placed into the first layer):</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173"/>
      </w:tblGrid>
      <w:tr>
        <w:tc>
          <w:tcPr>
            <w:tcW w:type="dxa" w:w="9173"/>
            <w:shd w:val="clear" w:color="auto" w:fill="0E1A2B"/>
            <w:tcMar>
              <w:top w:w="90" w:type="dxa"/>
              <w:bottom w:w="90" w:type="dxa"/>
              <w:start w:w="140" w:type="dxa"/>
              <w:end w:w="140" w:type="dxa"/>
            </w:tcMar>
          </w:tcPr>
          <w:p>
            <w:pPr>
              <w:spacing w:after="0" w:line="254" w:lineRule="auto"/>
            </w:pPr>
            <w:r>
              <w:rPr>
                <w:rFonts w:ascii="Consolas" w:hAnsi="Consolas"/>
                <w:color w:val="D6E7C8"/>
                <w:sz w:val="18"/>
              </w:rPr>
              <w:t>{</w:t>
            </w:r>
          </w:p>
          <w:p>
            <w:pPr>
              <w:spacing w:after="0" w:line="254" w:lineRule="auto"/>
            </w:pPr>
            <w:r>
              <w:rPr>
                <w:rFonts w:ascii="Consolas" w:hAnsi="Consolas"/>
                <w:color w:val="D6E7C8"/>
                <w:sz w:val="18"/>
              </w:rPr>
              <w:t xml:space="preserve">  "inputData": [</w:t>
            </w:r>
          </w:p>
          <w:p>
            <w:pPr>
              <w:spacing w:after="0" w:line="254" w:lineRule="auto"/>
            </w:pPr>
            <w:r>
              <w:rPr>
                <w:rFonts w:ascii="Consolas" w:hAnsi="Consolas"/>
                <w:color w:val="D6E7C8"/>
                <w:sz w:val="18"/>
              </w:rPr>
              <w:t xml:space="preserve">    {</w:t>
            </w:r>
          </w:p>
          <w:p>
            <w:pPr>
              <w:spacing w:after="0" w:line="254" w:lineRule="auto"/>
            </w:pPr>
            <w:r>
              <w:rPr>
                <w:rFonts w:ascii="Consolas" w:hAnsi="Consolas"/>
                <w:color w:val="D6E7C8"/>
                <w:sz w:val="18"/>
              </w:rPr>
              <w:t xml:space="preserve">      "iInputSource": {</w:t>
            </w:r>
          </w:p>
          <w:p>
            <w:pPr>
              <w:spacing w:after="0" w:line="254" w:lineRule="auto"/>
            </w:pPr>
            <w:r>
              <w:rPr>
                <w:rFonts w:ascii="Consolas" w:hAnsi="Consolas"/>
                <w:color w:val="D6E7C8"/>
                <w:sz w:val="18"/>
              </w:rPr>
              <w:t xml:space="preserve">        "clazz": "com.acme.cyber.KafkaSecurityEventSource",</w:t>
            </w:r>
          </w:p>
          <w:p>
            <w:pPr>
              <w:spacing w:after="0" w:line="254" w:lineRule="auto"/>
            </w:pPr>
            <w:r>
              <w:rPr>
                <w:rFonts w:ascii="Consolas" w:hAnsi="Consolas"/>
                <w:color w:val="D6E7C8"/>
                <w:sz w:val="18"/>
              </w:rPr>
              <w:t xml:space="preserve">        "initInput": { "name": "cyber-stream", "epoch": 1, "loop": 1,</w:t>
            </w:r>
          </w:p>
          <w:p>
            <w:pPr>
              <w:spacing w:after="0" w:line="254" w:lineRule="auto"/>
            </w:pPr>
            <w:r>
              <w:rPr>
                <w:rFonts w:ascii="Consolas" w:hAnsi="Consolas"/>
                <w:color w:val="D6E7C8"/>
                <w:sz w:val="18"/>
              </w:rPr>
              <w:t xml:space="preserve">                       "topics": "auth,proc,dns,flow,intel" }</w:t>
            </w:r>
          </w:p>
          <w:p>
            <w:pPr>
              <w:spacing w:after="0" w:line="254" w:lineRule="auto"/>
            </w:pPr>
            <w:r>
              <w:rPr>
                <w:rFonts w:ascii="Consolas" w:hAnsi="Consolas"/>
                <w:color w:val="D6E7C8"/>
                <w:sz w:val="18"/>
              </w:rPr>
              <w:t xml:space="preserve">      },</w:t>
            </w:r>
          </w:p>
          <w:p>
            <w:pPr>
              <w:spacing w:after="0" w:line="254" w:lineRule="auto"/>
            </w:pPr>
            <w:r>
              <w:rPr>
                <w:rFonts w:ascii="Consolas" w:hAnsi="Consolas"/>
                <w:color w:val="D6E7C8"/>
                <w:sz w:val="18"/>
              </w:rPr>
              <w:t xml:space="preserve">      "mandatory": true,</w:t>
            </w:r>
          </w:p>
          <w:p>
            <w:pPr>
              <w:spacing w:after="0" w:line="254" w:lineRule="auto"/>
            </w:pPr>
            <w:r>
              <w:rPr>
                <w:rFonts w:ascii="Consolas" w:hAnsi="Consolas"/>
                <w:color w:val="D6E7C8"/>
                <w:sz w:val="18"/>
              </w:rPr>
              <w:t xml:space="preserve">      "initStrategy": {</w:t>
            </w:r>
          </w:p>
          <w:p>
            <w:pPr>
              <w:spacing w:after="0" w:line="254" w:lineRule="auto"/>
            </w:pPr>
            <w:r>
              <w:rPr>
                <w:rFonts w:ascii="Consolas" w:hAnsi="Consolas"/>
                <w:color w:val="D6E7C8"/>
                <w:sz w:val="18"/>
              </w:rPr>
              <w:t xml:space="preserve">        "clazz": "…signals.OneToAllFirstLayerInputStrategy",</w:t>
            </w:r>
          </w:p>
          <w:p>
            <w:pPr>
              <w:spacing w:after="0" w:line="254" w:lineRule="auto"/>
            </w:pPr>
            <w:r>
              <w:rPr>
                <w:rFonts w:ascii="Consolas" w:hAnsi="Consolas"/>
                <w:color w:val="D6E7C8"/>
                <w:sz w:val="18"/>
              </w:rPr>
              <w:t xml:space="preserve">        "iNeuronNetInput": {}</w:t>
            </w:r>
          </w:p>
          <w:p>
            <w:pPr>
              <w:spacing w:after="0" w:line="254" w:lineRule="auto"/>
            </w:pPr>
            <w:r>
              <w:rPr>
                <w:rFonts w:ascii="Consolas" w:hAnsi="Consolas"/>
                <w:color w:val="D6E7C8"/>
                <w:sz w:val="18"/>
              </w:rPr>
              <w:t xml:space="preserve">      },</w:t>
            </w:r>
          </w:p>
          <w:p>
            <w:pPr>
              <w:spacing w:after="0" w:line="254" w:lineRule="auto"/>
            </w:pPr>
            <w:r>
              <w:rPr>
                <w:rFonts w:ascii="Consolas" w:hAnsi="Consolas"/>
                <w:color w:val="D6E7C8"/>
                <w:sz w:val="18"/>
              </w:rPr>
              <w:t xml:space="preserve">      "amountOfRuns": 0</w:t>
            </w:r>
          </w:p>
          <w:p>
            <w:pPr>
              <w:spacing w:after="0" w:line="254" w:lineRule="auto"/>
            </w:pPr>
            <w:r>
              <w:rPr>
                <w:rFonts w:ascii="Consolas" w:hAnsi="Consolas"/>
                <w:color w:val="D6E7C8"/>
                <w:sz w:val="18"/>
              </w:rPr>
              <w:t xml:space="preserve">    }</w:t>
            </w:r>
          </w:p>
          <w:p>
            <w:pPr>
              <w:spacing w:after="0" w:line="254" w:lineRule="auto"/>
            </w:pPr>
            <w:r>
              <w:rPr>
                <w:rFonts w:ascii="Consolas" w:hAnsi="Consolas"/>
                <w:color w:val="D6E7C8"/>
                <w:sz w:val="18"/>
              </w:rPr>
              <w:t xml:space="preserve">  ]</w:t>
            </w:r>
          </w:p>
          <w:p>
            <w:pPr>
              <w:spacing w:after="0" w:line="254" w:lineRule="auto"/>
            </w:pPr>
            <w:r>
              <w:rPr>
                <w:rFonts w:ascii="Consolas" w:hAnsi="Consolas"/>
                <w:color w:val="D6E7C8"/>
                <w:sz w:val="18"/>
              </w:rPr>
              <w:t>}</w:t>
            </w:r>
          </w:p>
        </w:tc>
      </w:tr>
    </w:tbl>
    <w:p>
      <w:pPr>
        <w:spacing w:after="0" w:before="0"/>
      </w:pPr>
      <w:r>
        <w:rPr>
          <w:sz w:val="8"/>
        </w:rPr>
      </w:r>
    </w:p>
    <w:p>
      <w:pPr>
        <w:spacing w:after="120"/>
      </w:pPr>
      <w:r>
        <w:rPr>
          <w:rFonts w:ascii="Calibri" w:hAnsi="Calibri"/>
          <w:i w:val="0"/>
          <w:color w:val="141B2E"/>
          <w:sz w:val="21"/>
        </w:rPr>
        <w:t xml:space="preserve">An event source implements the </w:t>
      </w:r>
      <w:r>
        <w:rPr>
          <w:rFonts w:ascii="Consolas" w:hAnsi="Consolas"/>
          <w:color w:val="102A54"/>
          <w:sz w:val="20"/>
        </w:rPr>
        <w:t>IInitInput</w:t>
      </w:r>
      <w:r>
        <w:rPr>
          <w:rFonts w:ascii="Calibri" w:hAnsi="Calibri"/>
          <w:i w:val="0"/>
          <w:color w:val="141B2E"/>
          <w:sz w:val="21"/>
        </w:rPr>
        <w:t xml:space="preserve"> contract — four methods: </w:t>
      </w:r>
      <w:r>
        <w:rPr>
          <w:rFonts w:ascii="Consolas" w:hAnsi="Consolas"/>
          <w:color w:val="102A54"/>
          <w:sz w:val="20"/>
        </w:rPr>
        <w:t>readSignals()</w:t>
      </w:r>
      <w:r>
        <w:rPr>
          <w:rFonts w:ascii="Calibri" w:hAnsi="Calibri"/>
          <w:i w:val="0"/>
          <w:color w:val="141B2E"/>
          <w:sz w:val="21"/>
        </w:rPr>
        <w:t xml:space="preserve"> returns the typed signals for this cycle; </w:t>
      </w:r>
      <w:r>
        <w:rPr>
          <w:rFonts w:ascii="Consolas" w:hAnsi="Consolas"/>
          <w:color w:val="102A54"/>
          <w:sz w:val="20"/>
        </w:rPr>
        <w:t>getName()</w:t>
      </w:r>
      <w:r>
        <w:rPr>
          <w:rFonts w:ascii="Calibri" w:hAnsi="Calibri"/>
          <w:i w:val="0"/>
          <w:color w:val="141B2E"/>
          <w:sz w:val="21"/>
        </w:rPr>
        <w:t xml:space="preserve">; </w:t>
      </w:r>
      <w:r>
        <w:rPr>
          <w:rFonts w:ascii="Consolas" w:hAnsi="Consolas"/>
          <w:color w:val="102A54"/>
          <w:sz w:val="20"/>
        </w:rPr>
        <w:t>getDesiredResults()</w:t>
      </w:r>
      <w:r>
        <w:rPr>
          <w:rFonts w:ascii="Calibri" w:hAnsi="Calibri"/>
          <w:i w:val="0"/>
          <w:color w:val="141B2E"/>
          <w:sz w:val="21"/>
        </w:rPr>
        <w:t xml:space="preserve"> (training only — empty for a live detector); and </w:t>
      </w:r>
      <w:r>
        <w:rPr>
          <w:rFonts w:ascii="Consolas" w:hAnsi="Consolas"/>
          <w:color w:val="102A54"/>
          <w:sz w:val="20"/>
        </w:rPr>
        <w:t>getDefaultProcessingFrequency()</w:t>
      </w:r>
      <w:r>
        <w:rPr>
          <w:rFonts w:ascii="Calibri" w:hAnsi="Calibri"/>
          <w:i w:val="0"/>
          <w:color w:val="141B2E"/>
          <w:sz w:val="21"/>
        </w:rPr>
        <w:t>.</w:t>
      </w:r>
    </w:p>
    <w:p>
      <w:pPr>
        <w:keepNext/>
        <w:spacing w:before="180" w:after="20"/>
      </w:pPr>
      <w:r>
        <w:rPr>
          <w:rFonts w:ascii="Calibri" w:hAnsi="Calibri"/>
          <w:b/>
          <w:color w:val="0E7C86"/>
          <w:sz w:val="22"/>
        </w:rPr>
        <w:t>Plugging in a real Kafka event source</w:t>
      </w:r>
    </w:p>
    <w:p>
      <w:pPr>
        <w:spacing w:after="120"/>
      </w:pPr>
      <w:r>
        <w:rPr>
          <w:rFonts w:ascii="Calibri" w:hAnsi="Calibri"/>
          <w:i w:val="0"/>
          <w:color w:val="141B2E"/>
          <w:sz w:val="21"/>
        </w:rPr>
        <w:t xml:space="preserve">To consume your live telemetry, implement an </w:t>
      </w:r>
      <w:r>
        <w:rPr>
          <w:rFonts w:ascii="Consolas" w:hAnsi="Consolas"/>
          <w:color w:val="102A54"/>
          <w:sz w:val="20"/>
        </w:rPr>
        <w:t>IInitInput</w:t>
      </w:r>
      <w:r>
        <w:rPr>
          <w:rFonts w:ascii="Calibri" w:hAnsi="Calibri"/>
          <w:i w:val="0"/>
          <w:color w:val="141B2E"/>
          <w:sz w:val="21"/>
        </w:rPr>
        <w:t xml:space="preserve"> that polls your Kafka topic(s) and converts each record into the typed security signals the network consumes — </w:t>
      </w:r>
      <w:r>
        <w:rPr>
          <w:rFonts w:ascii="Consolas" w:hAnsi="Consolas"/>
          <w:color w:val="102A54"/>
          <w:sz w:val="20"/>
        </w:rPr>
        <w:t>PacketSignal</w:t>
      </w:r>
      <w:r>
        <w:rPr>
          <w:rFonts w:ascii="Calibri" w:hAnsi="Calibri"/>
          <w:i w:val="0"/>
          <w:color w:val="141B2E"/>
          <w:sz w:val="21"/>
        </w:rPr>
        <w:t xml:space="preserve">, </w:t>
      </w:r>
      <w:r>
        <w:rPr>
          <w:rFonts w:ascii="Consolas" w:hAnsi="Consolas"/>
          <w:color w:val="102A54"/>
          <w:sz w:val="20"/>
        </w:rPr>
        <w:t>SyscallSignal</w:t>
      </w:r>
      <w:r>
        <w:rPr>
          <w:rFonts w:ascii="Calibri" w:hAnsi="Calibri"/>
          <w:i w:val="0"/>
          <w:color w:val="141B2E"/>
          <w:sz w:val="21"/>
        </w:rPr>
        <w:t xml:space="preserve">, </w:t>
      </w:r>
      <w:r>
        <w:rPr>
          <w:rFonts w:ascii="Consolas" w:hAnsi="Consolas"/>
          <w:color w:val="102A54"/>
          <w:sz w:val="20"/>
        </w:rPr>
        <w:t>LogEventSignal</w:t>
      </w:r>
      <w:r>
        <w:rPr>
          <w:rFonts w:ascii="Calibri" w:hAnsi="Calibri"/>
          <w:i w:val="0"/>
          <w:color w:val="141B2E"/>
          <w:sz w:val="21"/>
        </w:rPr>
        <w:t xml:space="preserve"> at the receptors, feeding </w:t>
      </w:r>
      <w:r>
        <w:rPr>
          <w:rFonts w:ascii="Consolas" w:hAnsi="Consolas"/>
          <w:color w:val="102A54"/>
          <w:sz w:val="20"/>
        </w:rPr>
        <w:t>SignatureMatchSignal</w:t>
      </w:r>
      <w:r>
        <w:rPr>
          <w:rFonts w:ascii="Calibri" w:hAnsi="Calibri"/>
          <w:i w:val="0"/>
          <w:color w:val="141B2E"/>
          <w:sz w:val="21"/>
        </w:rPr>
        <w:t xml:space="preserve"> and </w:t>
      </w:r>
      <w:r>
        <w:rPr>
          <w:rFonts w:ascii="Consolas" w:hAnsi="Consolas"/>
          <w:color w:val="102A54"/>
          <w:sz w:val="20"/>
        </w:rPr>
        <w:t>AnomalyScoreSignal</w:t>
      </w:r>
      <w:r>
        <w:rPr>
          <w:rFonts w:ascii="Calibri" w:hAnsi="Calibri"/>
          <w:i w:val="0"/>
          <w:color w:val="141B2E"/>
          <w:sz w:val="21"/>
        </w:rPr>
        <w:t xml:space="preserve"> into the correlator. Reference its class as the source </w:t>
      </w:r>
      <w:r>
        <w:rPr>
          <w:rFonts w:ascii="Consolas" w:hAnsi="Consolas"/>
          <w:color w:val="102A54"/>
          <w:sz w:val="20"/>
        </w:rPr>
        <w:t>clazz</w:t>
      </w:r>
      <w:r>
        <w:rPr>
          <w:rFonts w:ascii="Calibri" w:hAnsi="Calibri"/>
          <w:i w:val="0"/>
          <w:color w:val="141B2E"/>
          <w:sz w:val="21"/>
        </w:rPr>
        <w:t xml:space="preserve">. Keep each event's </w:t>
      </w:r>
      <w:r>
        <w:rPr>
          <w:rFonts w:ascii="Calibri" w:hAnsi="Calibri"/>
          <w:b/>
          <w:i w:val="0"/>
          <w:color w:val="141B2E"/>
          <w:sz w:val="21"/>
        </w:rPr>
        <w:t>event-time</w:t>
      </w:r>
      <w:r>
        <w:rPr>
          <w:rFonts w:ascii="Calibri" w:hAnsi="Calibri"/>
          <w:i w:val="0"/>
          <w:color w:val="141B2E"/>
          <w:sz w:val="21"/>
        </w:rPr>
        <w:t xml:space="preserve"> field so delayed, replayed, or out-of-order telemetry still correlates by event time, exactly as the architecture requires.</w:t>
      </w:r>
    </w:p>
    <w:p>
      <w:pPr>
        <w:keepNext/>
        <w:spacing w:before="180" w:after="20"/>
      </w:pPr>
      <w:r>
        <w:rPr>
          <w:rFonts w:ascii="Calibri" w:hAnsi="Calibri"/>
          <w:b/>
          <w:color w:val="0E7C86"/>
          <w:sz w:val="22"/>
        </w:rPr>
        <w:t>Continuous streaming vs. batch replay</w:t>
      </w:r>
    </w:p>
    <w:p>
      <w:pPr>
        <w:spacing w:after="120"/>
      </w:pPr>
      <w:r>
        <w:rPr>
          <w:rFonts w:ascii="Calibri" w:hAnsi="Calibri"/>
          <w:i w:val="0"/>
          <w:color w:val="141B2E"/>
          <w:sz w:val="21"/>
        </w:rPr>
        <w:t xml:space="preserve">For a long-running service set </w:t>
      </w:r>
      <w:r>
        <w:rPr>
          <w:rFonts w:ascii="Consolas" w:hAnsi="Consolas"/>
          <w:color w:val="102A54"/>
          <w:sz w:val="20"/>
        </w:rPr>
        <w:t>configuration.infiniteRun=true</w:t>
      </w:r>
      <w:r>
        <w:rPr>
          <w:rFonts w:ascii="Calibri" w:hAnsi="Calibri"/>
          <w:i w:val="0"/>
          <w:color w:val="141B2E"/>
          <w:sz w:val="21"/>
        </w:rPr>
        <w:t xml:space="preserve"> and </w:t>
      </w:r>
      <w:r>
        <w:rPr>
          <w:rFonts w:ascii="Consolas" w:hAnsi="Consolas"/>
          <w:color w:val="102A54"/>
          <w:sz w:val="20"/>
        </w:rPr>
        <w:t>configuration.runoncein=&lt;ms&gt;</w:t>
      </w:r>
      <w:r>
        <w:rPr>
          <w:rFonts w:ascii="Calibri" w:hAnsi="Calibri"/>
          <w:i w:val="0"/>
          <w:color w:val="141B2E"/>
          <w:sz w:val="21"/>
        </w:rPr>
        <w:t xml:space="preserve"> as the poll interval; the worker loops, pulling from the event source and emitting advisories continuously. For a bounded replay (for example, re-running an incident), set </w:t>
      </w:r>
      <w:r>
        <w:rPr>
          <w:rFonts w:ascii="Consolas" w:hAnsi="Consolas"/>
          <w:color w:val="102A54"/>
          <w:sz w:val="20"/>
        </w:rPr>
        <w:t>infiniteRun=false</w:t>
      </w:r>
      <w:r>
        <w:rPr>
          <w:rFonts w:ascii="Calibri" w:hAnsi="Calibri"/>
          <w:i w:val="0"/>
          <w:color w:val="141B2E"/>
          <w:sz w:val="21"/>
        </w:rPr>
        <w:t xml:space="preserve"> and </w:t>
      </w:r>
      <w:r>
        <w:rPr>
          <w:rFonts w:ascii="Consolas" w:hAnsi="Consolas"/>
          <w:color w:val="102A54"/>
          <w:sz w:val="20"/>
        </w:rPr>
        <w:t>configuration.maxRun=&lt;cycles&gt;</w:t>
      </w:r>
      <w:r>
        <w:rPr>
          <w:rFonts w:ascii="Calibri" w:hAnsi="Calibri"/>
          <w:i w:val="0"/>
          <w:color w:val="141B2E"/>
          <w:sz w:val="21"/>
        </w:rPr>
        <w:t>.</w:t>
      </w:r>
    </w:p>
    <w:p>
      <w:pPr>
        <w:keepNext/>
        <w:spacing w:before="180" w:after="20"/>
      </w:pPr>
      <w:r>
        <w:rPr>
          <w:rFonts w:ascii="Calibri" w:hAnsi="Calibri"/>
          <w:b/>
          <w:color w:val="0E7C86"/>
          <w:sz w:val="22"/>
        </w:rPr>
        <w:t>Per-signal cadence (typed timescales)</w:t>
      </w:r>
    </w:p>
    <w:p>
      <w:pPr>
        <w:spacing w:after="120"/>
      </w:pPr>
      <w:r>
        <w:rPr>
          <w:rFonts w:ascii="Consolas" w:hAnsi="Consolas"/>
          <w:color w:val="102A54"/>
          <w:sz w:val="20"/>
        </w:rPr>
        <w:t>configuration.processing.frequency.map</w:t>
      </w:r>
      <w:r>
        <w:rPr>
          <w:rFonts w:ascii="Calibri" w:hAnsi="Calibri"/>
          <w:i w:val="0"/>
          <w:color w:val="141B2E"/>
          <w:sz w:val="21"/>
        </w:rPr>
        <w:t xml:space="preserve"> assigns each signal its natural timescale via </w:t>
      </w:r>
      <w:r>
        <w:rPr>
          <w:rFonts w:ascii="Consolas" w:hAnsi="Consolas"/>
          <w:color w:val="102A54"/>
          <w:sz w:val="20"/>
        </w:rPr>
        <w:t>{epoch, loop}</w:t>
      </w:r>
      <w:r>
        <w:rPr>
          <w:rFonts w:ascii="Calibri" w:hAnsi="Calibri"/>
          <w:i w:val="0"/>
          <w:color w:val="141B2E"/>
          <w:sz w:val="21"/>
        </w:rPr>
        <w:t xml:space="preserve">. The trainer records the recommended cadence in the descriptor's </w:t>
      </w:r>
      <w:r>
        <w:rPr>
          <w:rFonts w:ascii="Consolas" w:hAnsi="Consolas"/>
          <w:color w:val="102A54"/>
          <w:sz w:val="20"/>
        </w:rPr>
        <w:t>signalFrequencyMap</w:t>
      </w:r>
      <w:r>
        <w:rPr>
          <w:rFonts w:ascii="Calibri" w:hAnsi="Calibri"/>
          <w:i w:val="0"/>
          <w:color w:val="141B2E"/>
          <w:sz w:val="21"/>
        </w:rPr>
        <w:t xml:space="preserve"> — fast receptors every cycle, hypotheses and quarantine requests every second cycle, incident reports every fifth:</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173"/>
      </w:tblGrid>
      <w:tr>
        <w:tc>
          <w:tcPr>
            <w:tcW w:type="dxa" w:w="9173"/>
            <w:shd w:val="clear" w:color="auto" w:fill="0E1A2B"/>
            <w:tcMar>
              <w:top w:w="90" w:type="dxa"/>
              <w:bottom w:w="90" w:type="dxa"/>
              <w:start w:w="140" w:type="dxa"/>
              <w:end w:w="140" w:type="dxa"/>
            </w:tcMar>
          </w:tcPr>
          <w:p>
            <w:pPr>
              <w:spacing w:after="0" w:line="254" w:lineRule="auto"/>
            </w:pPr>
            <w:r>
              <w:rPr>
                <w:rFonts w:ascii="Consolas" w:hAnsi="Consolas"/>
                <w:color w:val="D6E7C8"/>
                <w:sz w:val="18"/>
              </w:rPr>
              <w:t>{</w:t>
            </w:r>
          </w:p>
          <w:p>
            <w:pPr>
              <w:spacing w:after="0" w:line="254" w:lineRule="auto"/>
            </w:pPr>
            <w:r>
              <w:rPr>
                <w:rFonts w:ascii="Consolas" w:hAnsi="Consolas"/>
                <w:color w:val="D6E7C8"/>
                <w:sz w:val="18"/>
              </w:rPr>
              <w:t xml:space="preserve">  "…security.PacketSignal":           { "epoch": "1", "loop": "1" },</w:t>
            </w:r>
          </w:p>
          <w:p>
            <w:pPr>
              <w:spacing w:after="0" w:line="254" w:lineRule="auto"/>
            </w:pPr>
            <w:r>
              <w:rPr>
                <w:rFonts w:ascii="Consolas" w:hAnsi="Consolas"/>
                <w:color w:val="D6E7C8"/>
                <w:sz w:val="18"/>
              </w:rPr>
              <w:t xml:space="preserve">  "…security.SyscallSignal":          { "epoch": "1", "loop": "1" },</w:t>
            </w:r>
          </w:p>
          <w:p>
            <w:pPr>
              <w:spacing w:after="0" w:line="254" w:lineRule="auto"/>
            </w:pPr>
            <w:r>
              <w:rPr>
                <w:rFonts w:ascii="Consolas" w:hAnsi="Consolas"/>
                <w:color w:val="D6E7C8"/>
                <w:sz w:val="18"/>
              </w:rPr>
              <w:t xml:space="preserve">  "…security.AnomalyScoreSignal":     { "epoch": "1", "loop": "1" },</w:t>
            </w:r>
          </w:p>
          <w:p>
            <w:pPr>
              <w:spacing w:after="0" w:line="254" w:lineRule="auto"/>
            </w:pPr>
            <w:r>
              <w:rPr>
                <w:rFonts w:ascii="Consolas" w:hAnsi="Consolas"/>
                <w:color w:val="D6E7C8"/>
                <w:sz w:val="18"/>
              </w:rPr>
              <w:t xml:space="preserve">  "…security.ThreatHypothesisSignal": { "epoch": "1", "loop": "2" },</w:t>
            </w:r>
          </w:p>
          <w:p>
            <w:pPr>
              <w:spacing w:after="0" w:line="254" w:lineRule="auto"/>
            </w:pPr>
            <w:r>
              <w:rPr>
                <w:rFonts w:ascii="Consolas" w:hAnsi="Consolas"/>
                <w:color w:val="D6E7C8"/>
                <w:sz w:val="18"/>
              </w:rPr>
              <w:t xml:space="preserve">  "…security.IncidentReportSignal":   { "epoch": "1", "loop": "5" }</w:t>
            </w:r>
          </w:p>
          <w:p>
            <w:pPr>
              <w:spacing w:after="0" w:line="254" w:lineRule="auto"/>
            </w:pPr>
            <w:r>
              <w:rPr>
                <w:rFonts w:ascii="Consolas" w:hAnsi="Consolas"/>
                <w:color w:val="D6E7C8"/>
                <w:sz w:val="18"/>
              </w:rPr>
              <w:t>}</w:t>
            </w:r>
          </w:p>
        </w:tc>
      </w:tr>
    </w:tbl>
    <w:p>
      <w:pPr>
        <w:spacing w:after="0" w:before="0"/>
      </w:pPr>
      <w:r>
        <w:rPr>
          <w:sz w:val="8"/>
        </w:rPr>
      </w:r>
    </w:p>
    <w:p>
      <w:pPr>
        <w:keepNext/>
        <w:spacing w:before="320" w:after="40"/>
        <w:pBdr>
          <w:bottom w:val="single" w:sz="10" w:space="4" w:color="0E7C86"/>
        </w:pBdr>
      </w:pPr>
      <w:r>
        <w:rPr>
          <w:rFonts w:ascii="Calibri" w:hAnsi="Calibri"/>
          <w:b/>
          <w:color w:val="0E7C86"/>
          <w:sz w:val="34"/>
        </w:rPr>
        <w:t xml:space="preserve">9  </w:t>
      </w:r>
      <w:r>
        <w:rPr>
          <w:rFonts w:ascii="Calibri" w:hAnsi="Calibri"/>
          <w:b/>
          <w:color w:val="102A54"/>
          <w:sz w:val="34"/>
        </w:rPr>
        <w:t>Wire the output aggregator and launch the worker</w:t>
      </w:r>
    </w:p>
    <w:p>
      <w:pPr>
        <w:spacing w:after="120"/>
      </w:pPr>
      <w:r>
        <w:rPr>
          <w:rFonts w:ascii="Consolas" w:hAnsi="Consolas"/>
          <w:color w:val="102A54"/>
          <w:sz w:val="20"/>
        </w:rPr>
        <w:t>configuration.outputAggregator</w:t>
      </w:r>
      <w:r>
        <w:rPr>
          <w:rFonts w:ascii="Calibri" w:hAnsi="Calibri"/>
          <w:i w:val="0"/>
          <w:color w:val="141B2E"/>
          <w:sz w:val="21"/>
        </w:rPr>
        <w:t xml:space="preserve"> names an </w:t>
      </w:r>
      <w:r>
        <w:rPr>
          <w:rFonts w:ascii="Consolas" w:hAnsi="Consolas"/>
          <w:color w:val="102A54"/>
          <w:sz w:val="20"/>
        </w:rPr>
        <w:t>IOutputAggregator</w:t>
      </w:r>
      <w:r>
        <w:rPr>
          <w:rFonts w:ascii="Calibri" w:hAnsi="Calibri"/>
          <w:i w:val="0"/>
          <w:color w:val="141B2E"/>
          <w:sz w:val="21"/>
        </w:rPr>
        <w:t xml:space="preserve">. Its single method — </w:t>
      </w:r>
      <w:r>
        <w:rPr>
          <w:rFonts w:ascii="Consolas" w:hAnsi="Consolas"/>
          <w:color w:val="102A54"/>
          <w:sz w:val="20"/>
        </w:rPr>
        <w:t>save(results, timestamp, run, context)</w:t>
      </w:r>
      <w:r>
        <w:rPr>
          <w:rFonts w:ascii="Calibri" w:hAnsi="Calibri"/>
          <w:i w:val="0"/>
          <w:color w:val="141B2E"/>
          <w:sz w:val="21"/>
        </w:rPr>
        <w:t xml:space="preserve"> — is called every cycle with the advisories the net produced. The bundled </w:t>
      </w:r>
      <w:r>
        <w:rPr>
          <w:rFonts w:ascii="Consolas" w:hAnsi="Consolas"/>
          <w:color w:val="102A54"/>
          <w:sz w:val="20"/>
        </w:rPr>
        <w:t>JsonlResultAggregator</w:t>
      </w:r>
      <w:r>
        <w:rPr>
          <w:rFonts w:ascii="Calibri" w:hAnsi="Calibri"/>
          <w:i w:val="0"/>
          <w:color w:val="141B2E"/>
          <w:sz w:val="21"/>
        </w:rPr>
        <w:t xml:space="preserve"> writes advisory JSONL, which is ideal as the </w:t>
      </w:r>
      <w:r>
        <w:rPr>
          <w:rFonts w:ascii="Calibri" w:hAnsi="Calibri"/>
          <w:b/>
          <w:i w:val="0"/>
          <w:color w:val="141B2E"/>
          <w:sz w:val="21"/>
        </w:rPr>
        <w:t>shadow-mode audit sink</w:t>
      </w:r>
      <w:r>
        <w:rPr>
          <w:rFonts w:ascii="Calibri" w:hAnsi="Calibri"/>
          <w:i w:val="0"/>
          <w:color w:val="141B2E"/>
          <w:sz w:val="21"/>
        </w:rPr>
        <w:t>. For production, implement an aggregator that forwards advisories to your SIEM, a Kafka topic, or a webhook — preserving the full evidence lineage (entity, event-time range, contributing sources, posterior, response band, baseline-freeze state, model id and checksum).</w:t>
      </w:r>
    </w:p>
    <w:p>
      <w:pPr>
        <w:spacing w:after="120"/>
      </w:pPr>
      <w:r>
        <w:rPr>
          <w:rFonts w:ascii="Calibri" w:hAnsi="Calibri"/>
          <w:i w:val="0"/>
          <w:color w:val="141B2E"/>
          <w:sz w:val="21"/>
        </w:rPr>
        <w:t xml:space="preserve">A complete production context pulls it all together — note </w:t>
      </w:r>
      <w:r>
        <w:rPr>
          <w:rFonts w:ascii="Consolas" w:hAnsi="Consolas"/>
          <w:color w:val="102A54"/>
          <w:sz w:val="20"/>
        </w:rPr>
        <w:t>configuration.input.layermeta</w:t>
      </w:r>
      <w:r>
        <w:rPr>
          <w:rFonts w:ascii="Calibri" w:hAnsi="Calibri"/>
          <w:i w:val="0"/>
          <w:color w:val="141B2E"/>
          <w:sz w:val="21"/>
        </w:rPr>
        <w:t xml:space="preserve"> pointing at the generated layer directory:</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173"/>
      </w:tblGrid>
      <w:tr>
        <w:tc>
          <w:tcPr>
            <w:tcW w:type="dxa" w:w="9173"/>
            <w:shd w:val="clear" w:color="auto" w:fill="0E1A2B"/>
            <w:tcMar>
              <w:top w:w="90" w:type="dxa"/>
              <w:bottom w:w="90" w:type="dxa"/>
              <w:start w:w="140" w:type="dxa"/>
              <w:end w:w="140" w:type="dxa"/>
            </w:tcMar>
          </w:tcPr>
          <w:p>
            <w:pPr>
              <w:spacing w:after="0" w:line="254" w:lineRule="auto"/>
            </w:pPr>
            <w:r>
              <w:rPr>
                <w:rFonts w:ascii="Consolas" w:hAnsi="Consolas"/>
                <w:color w:val="D6E7C8"/>
                <w:sz w:val="18"/>
              </w:rPr>
              <w:t>{</w:t>
            </w:r>
          </w:p>
          <w:p>
            <w:pPr>
              <w:spacing w:after="0" w:line="254" w:lineRule="auto"/>
            </w:pPr>
            <w:r>
              <w:rPr>
                <w:rFonts w:ascii="Consolas" w:hAnsi="Consolas"/>
                <w:color w:val="D6E7C8"/>
                <w:sz w:val="18"/>
              </w:rPr>
              <w:t xml:space="preserve">  "properties": {</w:t>
            </w:r>
          </w:p>
          <w:p>
            <w:pPr>
              <w:spacing w:after="0" w:line="254" w:lineRule="auto"/>
            </w:pPr>
            <w:r>
              <w:rPr>
                <w:rFonts w:ascii="Consolas" w:hAnsi="Consolas"/>
                <w:color w:val="D6E7C8"/>
                <w:sz w:val="18"/>
              </w:rPr>
              <w:t xml:space="preserve">    "configuration.input.layermeta": "/opt/jneo/cyber/layers",</w:t>
            </w:r>
          </w:p>
          <w:p>
            <w:pPr>
              <w:spacing w:after="0" w:line="254" w:lineRule="auto"/>
            </w:pPr>
            <w:r>
              <w:rPr>
                <w:rFonts w:ascii="Consolas" w:hAnsi="Consolas"/>
                <w:color w:val="D6E7C8"/>
                <w:sz w:val="18"/>
              </w:rPr>
              <w:t xml:space="preserve">    "configuration.neuronnet.classes": "…security.TemporalThreatCorrelationNeuron,…security.ResponsePlanningNeuron,…security.ResponseGateNeuron",</w:t>
            </w:r>
          </w:p>
          <w:p>
            <w:pPr>
              <w:spacing w:after="0" w:line="254" w:lineRule="auto"/>
            </w:pPr>
            <w:r>
              <w:rPr>
                <w:rFonts w:ascii="Consolas" w:hAnsi="Consolas"/>
                <w:color w:val="D6E7C8"/>
                <w:sz w:val="18"/>
              </w:rPr>
              <w:t xml:space="preserve">    "configuration.input.inputs": "{ ...InputArray from section 8... }",</w:t>
            </w:r>
          </w:p>
          <w:p>
            <w:pPr>
              <w:spacing w:after="0" w:line="254" w:lineRule="auto"/>
            </w:pPr>
            <w:r>
              <w:rPr>
                <w:rFonts w:ascii="Consolas" w:hAnsi="Consolas"/>
                <w:color w:val="D6E7C8"/>
                <w:sz w:val="18"/>
              </w:rPr>
              <w:t xml:space="preserve">    "configuration.processing.frequency.map": "{ ...frequency map... }",</w:t>
            </w:r>
          </w:p>
          <w:p>
            <w:pPr>
              <w:spacing w:after="0" w:line="254" w:lineRule="auto"/>
            </w:pPr>
            <w:r>
              <w:rPr>
                <w:rFonts w:ascii="Consolas" w:hAnsi="Consolas"/>
                <w:color w:val="D6E7C8"/>
                <w:sz w:val="18"/>
              </w:rPr>
              <w:t xml:space="preserve">    "configuration.outputAggregator": "com.acme.cyber.SiemAdvisorySink",</w:t>
            </w:r>
          </w:p>
          <w:p>
            <w:pPr>
              <w:spacing w:after="0" w:line="254" w:lineRule="auto"/>
            </w:pPr>
            <w:r>
              <w:rPr>
                <w:rFonts w:ascii="Consolas" w:hAnsi="Consolas"/>
                <w:color w:val="D6E7C8"/>
                <w:sz w:val="18"/>
              </w:rPr>
              <w:t xml:space="preserve">    "configuration.storage.json": "{\"storageClass\":\"…DemoFileStorage\",\"storage\":{\"rootPath\":\"/opt/jneo/cyber/state\"}}",</w:t>
            </w:r>
          </w:p>
          <w:p>
            <w:pPr>
              <w:spacing w:after="0" w:line="254" w:lineRule="auto"/>
            </w:pPr>
            <w:r>
              <w:rPr>
                <w:rFonts w:ascii="Consolas" w:hAnsi="Consolas"/>
                <w:color w:val="D6E7C8"/>
                <w:sz w:val="18"/>
              </w:rPr>
              <w:t xml:space="preserve">    "configuration.slowfast.ratio": "10",</w:t>
            </w:r>
          </w:p>
          <w:p>
            <w:pPr>
              <w:spacing w:after="0" w:line="254" w:lineRule="auto"/>
            </w:pPr>
            <w:r>
              <w:rPr>
                <w:rFonts w:ascii="Consolas" w:hAnsi="Consolas"/>
                <w:color w:val="D6E7C8"/>
                <w:sz w:val="18"/>
              </w:rPr>
              <w:t xml:space="preserve">    "configuration.history.slow.runs": "8",</w:t>
            </w:r>
          </w:p>
          <w:p>
            <w:pPr>
              <w:spacing w:after="0" w:line="254" w:lineRule="auto"/>
            </w:pPr>
            <w:r>
              <w:rPr>
                <w:rFonts w:ascii="Consolas" w:hAnsi="Consolas"/>
                <w:color w:val="D6E7C8"/>
                <w:sz w:val="18"/>
              </w:rPr>
              <w:t xml:space="preserve">    "configuration.history.fast.runs": "64",</w:t>
            </w:r>
          </w:p>
          <w:p>
            <w:pPr>
              <w:spacing w:after="0" w:line="254" w:lineRule="auto"/>
            </w:pPr>
            <w:r>
              <w:rPr>
                <w:rFonts w:ascii="Consolas" w:hAnsi="Consolas"/>
                <w:color w:val="D6E7C8"/>
                <w:sz w:val="18"/>
              </w:rPr>
              <w:t xml:space="preserve">    "configuration.isteacherstudying": "false",</w:t>
            </w:r>
          </w:p>
          <w:p>
            <w:pPr>
              <w:spacing w:after="0" w:line="254" w:lineRule="auto"/>
            </w:pPr>
            <w:r>
              <w:rPr>
                <w:rFonts w:ascii="Consolas" w:hAnsi="Consolas"/>
                <w:color w:val="D6E7C8"/>
                <w:sz w:val="18"/>
              </w:rPr>
              <w:t xml:space="preserve">    "configuration.discriminatorsAmount": "0",</w:t>
            </w:r>
          </w:p>
          <w:p>
            <w:pPr>
              <w:spacing w:after="0" w:line="254" w:lineRule="auto"/>
            </w:pPr>
            <w:r>
              <w:rPr>
                <w:rFonts w:ascii="Consolas" w:hAnsi="Consolas"/>
                <w:color w:val="D6E7C8"/>
                <w:sz w:val="18"/>
              </w:rPr>
              <w:t xml:space="preserve">    "configuration.infiniteRun": "true",</w:t>
            </w:r>
          </w:p>
          <w:p>
            <w:pPr>
              <w:spacing w:after="0" w:line="254" w:lineRule="auto"/>
            </w:pPr>
            <w:r>
              <w:rPr>
                <w:rFonts w:ascii="Consolas" w:hAnsi="Consolas"/>
                <w:color w:val="D6E7C8"/>
                <w:sz w:val="18"/>
              </w:rPr>
              <w:t xml:space="preserve">    "configuration.runoncein": "1000",</w:t>
            </w:r>
          </w:p>
          <w:p>
            <w:pPr>
              <w:spacing w:after="0" w:line="254" w:lineRule="auto"/>
            </w:pPr>
            <w:r>
              <w:rPr>
                <w:rFonts w:ascii="Consolas" w:hAnsi="Consolas"/>
                <w:color w:val="D6E7C8"/>
                <w:sz w:val="18"/>
              </w:rPr>
              <w:t xml:space="preserve">    "configuration.maxRun": "0",</w:t>
            </w:r>
          </w:p>
          <w:p>
            <w:pPr>
              <w:spacing w:after="0" w:line="254" w:lineRule="auto"/>
            </w:pPr>
            <w:r>
              <w:rPr>
                <w:rFonts w:ascii="Consolas" w:hAnsi="Consolas"/>
                <w:color w:val="D6E7C8"/>
                <w:sz w:val="18"/>
              </w:rPr>
              <w:t xml:space="preserve">    "worker.threads.amount": "4"</w:t>
            </w:r>
          </w:p>
          <w:p>
            <w:pPr>
              <w:spacing w:after="0" w:line="254" w:lineRule="auto"/>
            </w:pPr>
            <w:r>
              <w:rPr>
                <w:rFonts w:ascii="Consolas" w:hAnsi="Consolas"/>
                <w:color w:val="D6E7C8"/>
                <w:sz w:val="18"/>
              </w:rPr>
              <w:t xml:space="preserve">  }</w:t>
            </w:r>
          </w:p>
          <w:p>
            <w:pPr>
              <w:spacing w:after="0" w:line="254" w:lineRule="auto"/>
            </w:pPr>
            <w:r>
              <w:rPr>
                <w:rFonts w:ascii="Consolas" w:hAnsi="Consolas"/>
                <w:color w:val="D6E7C8"/>
                <w:sz w:val="18"/>
              </w:rPr>
              <w:t>}</w:t>
            </w:r>
          </w:p>
        </w:tc>
      </w:tr>
    </w:tbl>
    <w:p>
      <w:pPr>
        <w:spacing w:after="0" w:before="0"/>
      </w:pPr>
      <w:r>
        <w:rPr>
          <w:sz w:val="8"/>
        </w:rPr>
      </w:r>
    </w:p>
    <w:p>
      <w:pPr>
        <w:spacing w:after="120"/>
      </w:pPr>
      <w:r>
        <w:rPr>
          <w:rFonts w:ascii="Calibri" w:hAnsi="Calibri"/>
          <w:i w:val="0"/>
          <w:color w:val="141B2E"/>
          <w:sz w:val="21"/>
        </w:rPr>
        <w:t xml:space="preserve">Launch the worker, putting the </w:t>
      </w:r>
      <w:r>
        <w:rPr>
          <w:rFonts w:ascii="Consolas" w:hAnsi="Consolas"/>
          <w:color w:val="102A54"/>
          <w:sz w:val="20"/>
        </w:rPr>
        <w:t>worker</w:t>
      </w:r>
      <w:r>
        <w:rPr>
          <w:rFonts w:ascii="Calibri" w:hAnsi="Calibri"/>
          <w:i w:val="0"/>
          <w:color w:val="141B2E"/>
          <w:sz w:val="21"/>
        </w:rPr>
        <w:t xml:space="preserve"> artifact and its dependencies on the classpath and passing your deployment JAR by URL (use </w:t>
      </w:r>
      <w:r>
        <w:rPr>
          <w:rFonts w:ascii="Consolas" w:hAnsi="Consolas"/>
          <w:color w:val="102A54"/>
          <w:sz w:val="20"/>
        </w:rPr>
        <w:t>;</w:t>
      </w:r>
      <w:r>
        <w:rPr>
          <w:rFonts w:ascii="Calibri" w:hAnsi="Calibri"/>
          <w:i w:val="0"/>
          <w:color w:val="141B2E"/>
          <w:sz w:val="21"/>
        </w:rPr>
        <w:t xml:space="preserve"> as the classpath separator on Windows, </w:t>
      </w:r>
      <w:r>
        <w:rPr>
          <w:rFonts w:ascii="Consolas" w:hAnsi="Consolas"/>
          <w:color w:val="102A54"/>
          <w:sz w:val="20"/>
        </w:rPr>
        <w:t>:</w:t>
      </w:r>
      <w:r>
        <w:rPr>
          <w:rFonts w:ascii="Calibri" w:hAnsi="Calibri"/>
          <w:i w:val="0"/>
          <w:color w:val="141B2E"/>
          <w:sz w:val="21"/>
        </w:rPr>
        <w:t xml:space="preserve"> on Linux/macOS):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173"/>
      </w:tblGrid>
      <w:tr>
        <w:tc>
          <w:tcPr>
            <w:tcW w:type="dxa" w:w="9173"/>
            <w:shd w:val="clear" w:color="auto" w:fill="0E1A2B"/>
            <w:tcMar>
              <w:top w:w="90" w:type="dxa"/>
              <w:bottom w:w="90" w:type="dxa"/>
              <w:start w:w="140" w:type="dxa"/>
              <w:end w:w="140" w:type="dxa"/>
            </w:tcMar>
          </w:tcPr>
          <w:p>
            <w:pPr>
              <w:spacing w:after="0" w:line="254" w:lineRule="auto"/>
            </w:pPr>
            <w:r>
              <w:rPr>
                <w:rFonts w:ascii="Consolas" w:hAnsi="Consolas"/>
                <w:color w:val="D6E7C8"/>
                <w:sz w:val="18"/>
              </w:rPr>
              <w:t>java -cp "worker-1.0.jar:libs/*" \</w:t>
            </w:r>
          </w:p>
          <w:p>
            <w:pPr>
              <w:spacing w:after="0" w:line="254" w:lineRule="auto"/>
            </w:pPr>
            <w:r>
              <w:rPr>
                <w:rFonts w:ascii="Consolas" w:hAnsi="Consolas"/>
                <w:color w:val="D6E7C8"/>
                <w:sz w:val="18"/>
              </w:rPr>
              <w:t xml:space="preserve">  com.rakovpublic.jneuropallium.worker.application.Entry \</w:t>
            </w:r>
          </w:p>
          <w:p>
            <w:pPr>
              <w:spacing w:after="0" w:line="254" w:lineRule="auto"/>
            </w:pPr>
            <w:r>
              <w:rPr>
                <w:rFonts w:ascii="Consolas" w:hAnsi="Consolas"/>
                <w:color w:val="D6E7C8"/>
                <w:sz w:val="18"/>
              </w:rPr>
              <w:t xml:space="preserve">  local \</w:t>
            </w:r>
          </w:p>
          <w:p>
            <w:pPr>
              <w:spacing w:after="0" w:line="254" w:lineRule="auto"/>
            </w:pPr>
            <w:r>
              <w:rPr>
                <w:rFonts w:ascii="Consolas" w:hAnsi="Consolas"/>
                <w:color w:val="D6E7C8"/>
                <w:sz w:val="18"/>
              </w:rPr>
              <w:t xml:space="preserve">  file:///opt/jneo/cyber-model.jar \</w:t>
            </w:r>
          </w:p>
          <w:p>
            <w:pPr>
              <w:spacing w:after="0" w:line="254" w:lineRule="auto"/>
            </w:pPr>
            <w:r>
              <w:rPr>
                <w:rFonts w:ascii="Consolas" w:hAnsi="Consolas"/>
                <w:color w:val="D6E7C8"/>
                <w:sz w:val="18"/>
              </w:rPr>
              <w:t xml:space="preserve">  com.rakovpublic.jneuropallium.worker.demo.fullrun.runtime.DemoJsonContext \</w:t>
            </w:r>
          </w:p>
          <w:p>
            <w:pPr>
              <w:spacing w:after="0" w:line="254" w:lineRule="auto"/>
            </w:pPr>
            <w:r>
              <w:rPr>
                <w:rFonts w:ascii="Consolas" w:hAnsi="Consolas"/>
                <w:color w:val="D6E7C8"/>
                <w:sz w:val="18"/>
              </w:rPr>
              <w:t xml:space="preserve">  /opt/jneo/cyber-context.json</w:t>
            </w:r>
          </w:p>
        </w:tc>
      </w:tr>
    </w:tbl>
    <w:p>
      <w:pPr>
        <w:spacing w:after="0" w:before="0"/>
      </w:pPr>
      <w:r>
        <w:rPr>
          <w:sz w:val="8"/>
        </w:rPr>
      </w:r>
    </w:p>
    <w:tbl>
      <w:tblPr>
        <w:tblW w:type="auto" w:w="0"/>
        <w:jc w:val="center"/>
        <w:tblLook w:firstColumn="1" w:firstRow="1" w:lastColumn="0" w:lastRow="0" w:noHBand="0" w:noVBand="1" w:val="04A0"/>
        <w:tblBorders>
          <w:top w:val="single" w:sz="4" w:space="0" w:color="FBF1E0"/>
          <w:left w:val="single" w:sz="4" w:space="0" w:color="FBF1E0"/>
          <w:bottom w:val="single" w:sz="4" w:space="0" w:color="FBF1E0"/>
          <w:right w:val="single" w:sz="4" w:space="0" w:color="FBF1E0"/>
          <w:insideH w:val="single" w:sz="4" w:space="0" w:color="FBF1E0"/>
          <w:insideV w:val="single" w:sz="4" w:space="0" w:color="FBF1E0"/>
        </w:tblBorders>
      </w:tblPr>
      <w:tblGrid>
        <w:gridCol w:w="9173"/>
      </w:tblGrid>
      <w:tr>
        <w:tc>
          <w:tcPr>
            <w:tcW w:type="dxa" w:w="9173"/>
            <w:shd w:val="clear" w:color="auto" w:fill="FBF1E0"/>
            <w:tcMar>
              <w:top w:w="120" w:type="dxa"/>
              <w:bottom w:w="120" w:type="dxa"/>
              <w:start w:w="160" w:type="dxa"/>
              <w:end w:w="160" w:type="dxa"/>
            </w:tcMar>
            <w:tcBorders>
              <w:left w:val="single" w:sz="24" w:space="0" w:color="C88A1A"/>
            </w:tcBorders>
          </w:tcPr>
          <w:p>
            <w:pPr>
              <w:spacing w:after="60"/>
            </w:pPr>
            <w:r>
              <w:rPr>
                <w:rFonts w:ascii="Calibri" w:hAnsi="Calibri"/>
                <w:b/>
                <w:color w:val="C88A1A"/>
                <w:sz w:val="21"/>
              </w:rPr>
              <w:t>Start in shadow mode</w:t>
            </w:r>
          </w:p>
          <w:p>
            <w:pPr>
              <w:spacing w:after="0"/>
            </w:pPr>
            <w:r>
              <w:rPr>
                <w:rFonts w:ascii="Calibri" w:hAnsi="Calibri"/>
                <w:i w:val="0"/>
                <w:color w:val="141B2E"/>
                <w:sz w:val="20"/>
              </w:rPr>
              <w:t xml:space="preserve">Point </w:t>
            </w:r>
            <w:r>
              <w:rPr>
                <w:rFonts w:ascii="Consolas" w:hAnsi="Consolas"/>
                <w:color w:val="102A54"/>
                <w:sz w:val="19"/>
              </w:rPr>
              <w:t>configuration.outputAggregator</w:t>
            </w:r>
            <w:r>
              <w:rPr>
                <w:rFonts w:ascii="Calibri" w:hAnsi="Calibri"/>
                <w:i w:val="0"/>
                <w:color w:val="141B2E"/>
                <w:sz w:val="20"/>
              </w:rPr>
              <w:t xml:space="preserve"> at an audit-only sink first (the JSONL aggregator is perfect), with no operator notification. The worker streams advisories you can compare against incident tickets before promoting to operator-visible advisory — the subject of the next section.</w:t>
            </w:r>
          </w:p>
        </w:tc>
      </w:tr>
    </w:tbl>
    <w:p>
      <w:pPr>
        <w:spacing w:after="0" w:before="0"/>
      </w:pPr>
      <w:r>
        <w:rPr>
          <w:sz w:val="12"/>
        </w:rPr>
      </w:r>
    </w:p>
    <w:p>
      <w:pPr>
        <w:keepNext/>
        <w:spacing w:before="320" w:after="40"/>
        <w:pBdr>
          <w:bottom w:val="single" w:sz="10" w:space="4" w:color="0E7C86"/>
        </w:pBdr>
      </w:pPr>
      <w:r>
        <w:rPr>
          <w:rFonts w:ascii="Calibri" w:hAnsi="Calibri"/>
          <w:b/>
          <w:color w:val="0E7C86"/>
          <w:sz w:val="34"/>
        </w:rPr>
        <w:t xml:space="preserve">10  </w:t>
      </w:r>
      <w:r>
        <w:rPr>
          <w:rFonts w:ascii="Calibri" w:hAnsi="Calibri"/>
          <w:b/>
          <w:color w:val="102A54"/>
          <w:sz w:val="34"/>
        </w:rPr>
        <w:t>Promote from shadow mode to operator-visible advisory</w:t>
      </w:r>
    </w:p>
    <w:p>
      <w:pPr>
        <w:spacing w:after="120"/>
      </w:pPr>
      <w:r>
        <w:rPr>
          <w:rFonts w:ascii="Calibri" w:hAnsi="Calibri"/>
          <w:i w:val="0"/>
          <w:color w:val="141B2E"/>
          <w:sz w:val="21"/>
        </w:rPr>
        <w:t>Promote the network gradually. Never jump straight to operator-visible output, and never enable enforcement without a separate approved design.</w:t>
      </w:r>
    </w:p>
    <w:p>
      <w:pPr>
        <w:spacing w:after="60" w:line="269" w:lineRule="auto"/>
        <w:ind w:left="720" w:hanging="317"/>
      </w:pPr>
      <w:r>
        <w:rPr>
          <w:rFonts w:ascii="Calibri" w:hAnsi="Calibri"/>
          <w:b/>
          <w:color w:val="0E7C86"/>
          <w:sz w:val="21"/>
        </w:rPr>
        <w:t xml:space="preserve">1.  </w:t>
      </w:r>
      <w:r>
        <w:rPr>
          <w:rFonts w:ascii="Calibri" w:hAnsi="Calibri"/>
          <w:b/>
          <w:i w:val="0"/>
          <w:color w:val="141B2E"/>
          <w:sz w:val="21"/>
        </w:rPr>
        <w:t>Deploy adapters</w:t>
      </w:r>
      <w:r>
        <w:rPr>
          <w:rFonts w:ascii="Calibri" w:hAnsi="Calibri"/>
          <w:i w:val="0"/>
          <w:color w:val="141B2E"/>
          <w:sz w:val="21"/>
        </w:rPr>
        <w:t xml:space="preserve"> that convert real telemetry into the typed security signals.</w:t>
      </w:r>
    </w:p>
    <w:p>
      <w:pPr>
        <w:spacing w:after="60" w:line="269" w:lineRule="auto"/>
        <w:ind w:left="720" w:hanging="317"/>
      </w:pPr>
      <w:r>
        <w:rPr>
          <w:rFonts w:ascii="Calibri" w:hAnsi="Calibri"/>
          <w:b/>
          <w:color w:val="0E7C86"/>
          <w:sz w:val="21"/>
        </w:rPr>
        <w:t xml:space="preserve">2.  </w:t>
      </w:r>
      <w:r>
        <w:rPr>
          <w:rFonts w:ascii="Calibri" w:hAnsi="Calibri"/>
          <w:b/>
          <w:i w:val="0"/>
          <w:color w:val="141B2E"/>
          <w:sz w:val="21"/>
        </w:rPr>
        <w:t>Load the network</w:t>
      </w:r>
      <w:r>
        <w:rPr>
          <w:rFonts w:ascii="Calibri" w:hAnsi="Calibri"/>
          <w:i w:val="0"/>
          <w:color w:val="141B2E"/>
          <w:sz w:val="21"/>
        </w:rPr>
        <w:t xml:space="preserve"> by pointing </w:t>
      </w:r>
      <w:r>
        <w:rPr>
          <w:rFonts w:ascii="Consolas" w:hAnsi="Consolas"/>
          <w:color w:val="102A54"/>
          <w:sz w:val="20"/>
        </w:rPr>
        <w:t>configuration.input.layermeta</w:t>
      </w:r>
      <w:r>
        <w:rPr>
          <w:rFonts w:ascii="Calibri" w:hAnsi="Calibri"/>
          <w:i w:val="0"/>
          <w:color w:val="141B2E"/>
          <w:sz w:val="21"/>
        </w:rPr>
        <w:t xml:space="preserve"> at the generated layer directory.</w:t>
      </w:r>
    </w:p>
    <w:p>
      <w:pPr>
        <w:spacing w:after="60" w:line="269" w:lineRule="auto"/>
        <w:ind w:left="720" w:hanging="317"/>
      </w:pPr>
      <w:r>
        <w:rPr>
          <w:rFonts w:ascii="Calibri" w:hAnsi="Calibri"/>
          <w:b/>
          <w:color w:val="0E7C86"/>
          <w:sz w:val="21"/>
        </w:rPr>
        <w:t xml:space="preserve">3.  </w:t>
      </w:r>
      <w:r>
        <w:rPr>
          <w:rFonts w:ascii="Calibri" w:hAnsi="Calibri"/>
          <w:b/>
          <w:i w:val="0"/>
          <w:color w:val="141B2E"/>
          <w:sz w:val="21"/>
        </w:rPr>
        <w:t>Start in shadow mode:</w:t>
      </w:r>
      <w:r>
        <w:rPr>
          <w:rFonts w:ascii="Calibri" w:hAnsi="Calibri"/>
          <w:i w:val="0"/>
          <w:color w:val="141B2E"/>
          <w:sz w:val="21"/>
        </w:rPr>
        <w:t xml:space="preserve"> write advisories to an audit topic or JSONL sink without notifying operators.</w:t>
      </w:r>
    </w:p>
    <w:p>
      <w:pPr>
        <w:spacing w:after="60" w:line="269" w:lineRule="auto"/>
        <w:ind w:left="720" w:hanging="317"/>
      </w:pPr>
      <w:r>
        <w:rPr>
          <w:rFonts w:ascii="Calibri" w:hAnsi="Calibri"/>
          <w:b/>
          <w:color w:val="0E7C86"/>
          <w:sz w:val="21"/>
        </w:rPr>
        <w:t xml:space="preserve">4.  </w:t>
      </w:r>
      <w:r>
        <w:rPr>
          <w:rFonts w:ascii="Calibri" w:hAnsi="Calibri"/>
          <w:b/>
          <w:i w:val="0"/>
          <w:color w:val="141B2E"/>
          <w:sz w:val="21"/>
        </w:rPr>
        <w:t>Compare</w:t>
      </w:r>
      <w:r>
        <w:rPr>
          <w:rFonts w:ascii="Calibri" w:hAnsi="Calibri"/>
          <w:i w:val="0"/>
          <w:color w:val="141B2E"/>
          <w:sz w:val="21"/>
        </w:rPr>
        <w:t xml:space="preserve"> advisories against incident tickets, red-team logs, and sampled benign activity.</w:t>
      </w:r>
    </w:p>
    <w:p>
      <w:pPr>
        <w:spacing w:after="60" w:line="269" w:lineRule="auto"/>
        <w:ind w:left="720" w:hanging="317"/>
      </w:pPr>
      <w:r>
        <w:rPr>
          <w:rFonts w:ascii="Calibri" w:hAnsi="Calibri"/>
          <w:b/>
          <w:color w:val="0E7C86"/>
          <w:sz w:val="21"/>
        </w:rPr>
        <w:t xml:space="preserve">5.  </w:t>
      </w:r>
      <w:r>
        <w:rPr>
          <w:rFonts w:ascii="Calibri" w:hAnsi="Calibri"/>
          <w:b/>
          <w:i w:val="0"/>
          <w:color w:val="141B2E"/>
          <w:sz w:val="21"/>
        </w:rPr>
        <w:t>Promote to operator-visible advisory</w:t>
      </w:r>
      <w:r>
        <w:rPr>
          <w:rFonts w:ascii="Calibri" w:hAnsi="Calibri"/>
          <w:i w:val="0"/>
          <w:color w:val="141B2E"/>
          <w:sz w:val="21"/>
        </w:rPr>
        <w:t xml:space="preserve"> only after false-positive budgets and latency targets are met.</w:t>
      </w:r>
    </w:p>
    <w:p>
      <w:pPr>
        <w:spacing w:after="60" w:line="269" w:lineRule="auto"/>
        <w:ind w:left="720" w:hanging="317"/>
      </w:pPr>
      <w:r>
        <w:rPr>
          <w:rFonts w:ascii="Calibri" w:hAnsi="Calibri"/>
          <w:b/>
          <w:color w:val="0E7C86"/>
          <w:sz w:val="21"/>
        </w:rPr>
        <w:t xml:space="preserve">6.  </w:t>
      </w:r>
      <w:r>
        <w:rPr>
          <w:rFonts w:ascii="Calibri" w:hAnsi="Calibri"/>
          <w:b/>
          <w:i w:val="0"/>
          <w:color w:val="141B2E"/>
          <w:sz w:val="21"/>
        </w:rPr>
        <w:t>Keep active enforcement disabled</w:t>
      </w:r>
      <w:r>
        <w:rPr>
          <w:rFonts w:ascii="Calibri" w:hAnsi="Calibri"/>
          <w:i w:val="0"/>
          <w:color w:val="141B2E"/>
          <w:sz w:val="21"/>
        </w:rPr>
        <w:t xml:space="preserve"> unless a separate response-control design is approved.</w:t>
      </w:r>
    </w:p>
    <w:p>
      <w:pPr>
        <w:spacing w:after="120"/>
      </w:pPr>
      <w:r>
        <w:rPr>
          <w:rFonts w:ascii="Calibri" w:hAnsi="Calibri"/>
          <w:i w:val="0"/>
          <w:color w:val="141B2E"/>
          <w:sz w:val="21"/>
        </w:rPr>
        <w:t>A real Kafka bridge can replace the demo input. Keep the same typed event contract and event-time fields so delayed, replayed, or out-of-order telemetry is still correlated by event time rather than by processing time.</w:t>
      </w:r>
    </w:p>
    <w:p>
      <w:pPr>
        <w:keepNext/>
        <w:spacing w:before="320" w:after="40"/>
        <w:pBdr>
          <w:bottom w:val="single" w:sz="10" w:space="4" w:color="0E7C86"/>
        </w:pBdr>
      </w:pPr>
      <w:r>
        <w:rPr>
          <w:rFonts w:ascii="Calibri" w:hAnsi="Calibri"/>
          <w:b/>
          <w:color w:val="0E7C86"/>
          <w:sz w:val="34"/>
        </w:rPr>
        <w:t xml:space="preserve">11  </w:t>
      </w:r>
      <w:r>
        <w:rPr>
          <w:rFonts w:ascii="Calibri" w:hAnsi="Calibri"/>
          <w:b/>
          <w:color w:val="102A54"/>
          <w:sz w:val="34"/>
        </w:rPr>
        <w:t>Monitoring in production</w:t>
      </w:r>
    </w:p>
    <w:p>
      <w:pPr>
        <w:spacing w:after="120"/>
      </w:pPr>
      <w:r>
        <w:rPr>
          <w:rFonts w:ascii="Calibri" w:hAnsi="Calibri"/>
          <w:i w:val="0"/>
          <w:color w:val="141B2E"/>
          <w:sz w:val="21"/>
        </w:rPr>
        <w:t>Track these metrics continuously:</w:t>
      </w:r>
    </w:p>
    <w:p>
      <w:pPr>
        <w:pStyle w:val="ListBullet"/>
        <w:spacing w:after="60" w:line="269" w:lineRule="auto"/>
        <w:ind w:left="403"/>
      </w:pPr>
      <w:r>
        <w:rPr>
          <w:rFonts w:ascii="Calibri" w:hAnsi="Calibri"/>
          <w:i w:val="0"/>
          <w:color w:val="141B2E"/>
          <w:sz w:val="21"/>
        </w:rPr>
        <w:t>Events processed per source per minute; dropped, delayed, and out-of-order events.</w:t>
      </w:r>
    </w:p>
    <w:p>
      <w:pPr>
        <w:pStyle w:val="ListBullet"/>
        <w:spacing w:after="60" w:line="269" w:lineRule="auto"/>
        <w:ind w:left="403"/>
      </w:pPr>
      <w:r>
        <w:rPr>
          <w:rFonts w:ascii="Calibri" w:hAnsi="Calibri"/>
          <w:i w:val="0"/>
          <w:color w:val="141B2E"/>
          <w:sz w:val="21"/>
        </w:rPr>
        <w:t>Advisory count per host group and tenant; false-positive review rate; confirmed true-positive rate.</w:t>
      </w:r>
    </w:p>
    <w:p>
      <w:pPr>
        <w:pStyle w:val="ListBullet"/>
        <w:spacing w:after="60" w:line="269" w:lineRule="auto"/>
        <w:ind w:left="403"/>
      </w:pPr>
      <w:r>
        <w:rPr>
          <w:rFonts w:ascii="Calibri" w:hAnsi="Calibri"/>
          <w:i w:val="0"/>
          <w:color w:val="141B2E"/>
          <w:sz w:val="21"/>
        </w:rPr>
        <w:t>Mean time to detection and mean time to operator acknowledgement.</w:t>
      </w:r>
    </w:p>
    <w:p>
      <w:pPr>
        <w:pStyle w:val="ListBullet"/>
        <w:spacing w:after="60" w:line="269" w:lineRule="auto"/>
        <w:ind w:left="403"/>
      </w:pPr>
      <w:r>
        <w:rPr>
          <w:rFonts w:ascii="Calibri" w:hAnsi="Calibri"/>
          <w:i w:val="0"/>
          <w:color w:val="141B2E"/>
          <w:sz w:val="21"/>
        </w:rPr>
        <w:t>Baseline updates accepted, frozen, and rejected; maintenance-window suppression rate.</w:t>
      </w:r>
    </w:p>
    <w:p>
      <w:pPr>
        <w:pStyle w:val="ListBullet"/>
        <w:spacing w:after="60" w:line="269" w:lineRule="auto"/>
        <w:ind w:left="403"/>
      </w:pPr>
      <w:r>
        <w:rPr>
          <w:rFonts w:ascii="Calibri" w:hAnsi="Calibri"/>
          <w:i w:val="0"/>
          <w:color w:val="141B2E"/>
          <w:sz w:val="21"/>
        </w:rPr>
        <w:t>Model version and threshold used for every advisory.</w:t>
      </w:r>
    </w:p>
    <w:p>
      <w:pPr>
        <w:spacing w:after="120"/>
      </w:pPr>
      <w:r>
        <w:rPr>
          <w:rFonts w:ascii="Calibri" w:hAnsi="Calibri"/>
          <w:i w:val="0"/>
          <w:color w:val="141B2E"/>
          <w:sz w:val="21"/>
        </w:rPr>
        <w:t xml:space="preserve">Every advisory must preserve its evidence lineage: </w:t>
      </w:r>
      <w:r>
        <w:rPr>
          <w:rFonts w:ascii="Consolas" w:hAnsi="Consolas"/>
          <w:color w:val="102A54"/>
          <w:sz w:val="20"/>
        </w:rPr>
        <w:t>entity_id</w:t>
      </w:r>
      <w:r>
        <w:rPr>
          <w:rFonts w:ascii="Calibri" w:hAnsi="Calibri"/>
          <w:i w:val="0"/>
          <w:color w:val="141B2E"/>
          <w:sz w:val="21"/>
        </w:rPr>
        <w:t xml:space="preserve">, the </w:t>
      </w:r>
      <w:r>
        <w:rPr>
          <w:rFonts w:ascii="Consolas" w:hAnsi="Consolas"/>
          <w:color w:val="102A54"/>
          <w:sz w:val="20"/>
        </w:rPr>
        <w:t>event_tick</w:t>
      </w:r>
      <w:r>
        <w:rPr>
          <w:rFonts w:ascii="Calibri" w:hAnsi="Calibri"/>
          <w:i w:val="0"/>
          <w:color w:val="141B2E"/>
          <w:sz w:val="21"/>
        </w:rPr>
        <w:t xml:space="preserve"> range, the contributing sources and techniques, the posterior, the response band, </w:t>
      </w:r>
      <w:r>
        <w:rPr>
          <w:rFonts w:ascii="Consolas" w:hAnsi="Consolas"/>
          <w:color w:val="102A54"/>
          <w:sz w:val="20"/>
        </w:rPr>
        <w:t>baselineFrozen</w:t>
      </w:r>
      <w:r>
        <w:rPr>
          <w:rFonts w:ascii="Calibri" w:hAnsi="Calibri"/>
          <w:i w:val="0"/>
          <w:color w:val="141B2E"/>
          <w:sz w:val="21"/>
        </w:rPr>
        <w:t xml:space="preserve">, the </w:t>
      </w:r>
      <w:r>
        <w:rPr>
          <w:rFonts w:ascii="Consolas" w:hAnsi="Consolas"/>
          <w:color w:val="102A54"/>
          <w:sz w:val="20"/>
        </w:rPr>
        <w:t>modelId</w:t>
      </w:r>
      <w:r>
        <w:rPr>
          <w:rFonts w:ascii="Calibri" w:hAnsi="Calibri"/>
          <w:i w:val="0"/>
          <w:color w:val="141B2E"/>
          <w:sz w:val="21"/>
        </w:rPr>
        <w:t xml:space="preserve">, and the model checksum (the </w:t>
      </w:r>
      <w:r>
        <w:rPr>
          <w:rFonts w:ascii="Consolas" w:hAnsi="Consolas"/>
          <w:color w:val="102A54"/>
          <w:sz w:val="20"/>
        </w:rPr>
        <w:t>trainingChecksum</w:t>
      </w:r>
      <w:r>
        <w:rPr>
          <w:rFonts w:ascii="Calibri" w:hAnsi="Calibri"/>
          <w:i w:val="0"/>
          <w:color w:val="141B2E"/>
          <w:sz w:val="21"/>
        </w:rPr>
        <w:t xml:space="preserve"> from </w:t>
      </w:r>
      <w:r>
        <w:rPr>
          <w:rFonts w:ascii="Consolas" w:hAnsi="Consolas"/>
          <w:color w:val="102A54"/>
          <w:sz w:val="20"/>
        </w:rPr>
        <w:t>trained-model-update.json</w:t>
      </w:r>
      <w:r>
        <w:rPr>
          <w:rFonts w:ascii="Calibri" w:hAnsi="Calibri"/>
          <w:i w:val="0"/>
          <w:color w:val="141B2E"/>
          <w:sz w:val="21"/>
        </w:rPr>
        <w:t>).</w:t>
      </w:r>
    </w:p>
    <w:p>
      <w:pPr>
        <w:keepNext/>
        <w:spacing w:before="320" w:after="40"/>
        <w:pBdr>
          <w:bottom w:val="single" w:sz="10" w:space="4" w:color="0E7C86"/>
        </w:pBdr>
      </w:pPr>
      <w:r>
        <w:rPr>
          <w:rFonts w:ascii="Calibri" w:hAnsi="Calibri"/>
          <w:b/>
          <w:color w:val="0E7C86"/>
          <w:sz w:val="34"/>
        </w:rPr>
        <w:t xml:space="preserve">12  </w:t>
      </w:r>
      <w:r>
        <w:rPr>
          <w:rFonts w:ascii="Calibri" w:hAnsi="Calibri"/>
          <w:b/>
          <w:color w:val="102A54"/>
          <w:sz w:val="34"/>
        </w:rPr>
        <w:t>Safety, rollback and packaging</w:t>
      </w:r>
    </w:p>
    <w:p>
      <w:pPr>
        <w:keepNext/>
        <w:spacing w:before="240" w:after="40"/>
      </w:pPr>
      <w:r>
        <w:rPr>
          <w:rFonts w:ascii="Calibri" w:hAnsi="Calibri"/>
          <w:b/>
          <w:color w:val="1C5D99"/>
          <w:sz w:val="26"/>
        </w:rPr>
        <w:t>Packaging</w:t>
      </w:r>
    </w:p>
    <w:p>
      <w:pPr>
        <w:spacing w:after="120"/>
      </w:pPr>
      <w:r>
        <w:rPr>
          <w:rFonts w:ascii="Calibri" w:hAnsi="Calibri"/>
          <w:i w:val="0"/>
          <w:color w:val="141B2E"/>
          <w:sz w:val="21"/>
        </w:rPr>
        <w:t>A deployment package is the generated artifact directory plus provenance:</w:t>
      </w:r>
    </w:p>
    <w:p>
      <w:pPr>
        <w:pStyle w:val="ListBullet"/>
        <w:spacing w:after="60" w:line="269" w:lineRule="auto"/>
        <w:ind w:left="403"/>
      </w:pPr>
      <w:r>
        <w:rPr>
          <w:rFonts w:ascii="Calibri" w:hAnsi="Calibri"/>
          <w:i w:val="0"/>
          <w:color w:val="141B2E"/>
          <w:sz w:val="21"/>
        </w:rPr>
        <w:t>The generated layer files and model artifacts (</w:t>
      </w:r>
      <w:r>
        <w:rPr>
          <w:rFonts w:ascii="Consolas" w:hAnsi="Consolas"/>
          <w:color w:val="102A54"/>
          <w:sz w:val="20"/>
        </w:rPr>
        <w:t>model-descriptor.json</w:t>
      </w:r>
      <w:r>
        <w:rPr>
          <w:rFonts w:ascii="Calibri" w:hAnsi="Calibri"/>
          <w:i w:val="0"/>
          <w:color w:val="141B2E"/>
          <w:sz w:val="21"/>
        </w:rPr>
        <w:t xml:space="preserve">, </w:t>
      </w:r>
      <w:r>
        <w:rPr>
          <w:rFonts w:ascii="Consolas" w:hAnsi="Consolas"/>
          <w:color w:val="102A54"/>
          <w:sz w:val="20"/>
        </w:rPr>
        <w:t>layer-0.json</w:t>
      </w:r>
      <w:r>
        <w:rPr>
          <w:rFonts w:ascii="Calibri" w:hAnsi="Calibri"/>
          <w:i w:val="0"/>
          <w:color w:val="141B2E"/>
          <w:sz w:val="21"/>
        </w:rPr>
        <w:t xml:space="preserve"> … </w:t>
      </w:r>
      <w:r>
        <w:rPr>
          <w:rFonts w:ascii="Consolas" w:hAnsi="Consolas"/>
          <w:color w:val="102A54"/>
          <w:sz w:val="20"/>
        </w:rPr>
        <w:t>result-layer.json</w:t>
      </w:r>
      <w:r>
        <w:rPr>
          <w:rFonts w:ascii="Calibri" w:hAnsi="Calibri"/>
          <w:i w:val="0"/>
          <w:color w:val="141B2E"/>
          <w:sz w:val="21"/>
        </w:rPr>
        <w:t xml:space="preserve">, </w:t>
      </w:r>
      <w:r>
        <w:rPr>
          <w:rFonts w:ascii="Consolas" w:hAnsi="Consolas"/>
          <w:color w:val="102A54"/>
          <w:sz w:val="20"/>
        </w:rPr>
        <w:t>trained-temporal-threat-model.json</w:t>
      </w:r>
      <w:r>
        <w:rPr>
          <w:rFonts w:ascii="Calibri" w:hAnsi="Calibri"/>
          <w:i w:val="0"/>
          <w:color w:val="141B2E"/>
          <w:sz w:val="21"/>
        </w:rPr>
        <w:t xml:space="preserve">, </w:t>
      </w:r>
      <w:r>
        <w:rPr>
          <w:rFonts w:ascii="Consolas" w:hAnsi="Consolas"/>
          <w:color w:val="102A54"/>
          <w:sz w:val="20"/>
        </w:rPr>
        <w:t>trained-model-update.json</w:t>
      </w:r>
      <w:r>
        <w:rPr>
          <w:rFonts w:ascii="Calibri" w:hAnsi="Calibri"/>
          <w:i w:val="0"/>
          <w:color w:val="141B2E"/>
          <w:sz w:val="21"/>
        </w:rPr>
        <w:t>).</w:t>
      </w:r>
    </w:p>
    <w:p>
      <w:pPr>
        <w:pStyle w:val="ListBullet"/>
        <w:spacing w:after="60" w:line="269" w:lineRule="auto"/>
        <w:ind w:left="403"/>
      </w:pPr>
      <w:r>
        <w:rPr>
          <w:rFonts w:ascii="Calibri" w:hAnsi="Calibri"/>
          <w:i w:val="0"/>
          <w:color w:val="141B2E"/>
          <w:sz w:val="21"/>
        </w:rPr>
        <w:t xml:space="preserve">Git commit SHA, training command, manifest checksum, the </w:t>
      </w:r>
      <w:r>
        <w:rPr>
          <w:rFonts w:ascii="Consolas" w:hAnsi="Consolas"/>
          <w:color w:val="102A54"/>
          <w:sz w:val="20"/>
        </w:rPr>
        <w:t>trainingChecksum</w:t>
      </w:r>
      <w:r>
        <w:rPr>
          <w:rFonts w:ascii="Calibri" w:hAnsi="Calibri"/>
          <w:i w:val="0"/>
          <w:color w:val="141B2E"/>
          <w:sz w:val="21"/>
        </w:rPr>
        <w:t>, generated artifact checksums, the advisory-deployment approval record, and a rollback package identifier.</w:t>
      </w:r>
    </w:p>
    <w:p>
      <w:pPr>
        <w:keepNext/>
        <w:spacing w:before="240" w:after="40"/>
      </w:pPr>
      <w:r>
        <w:rPr>
          <w:rFonts w:ascii="Calibri" w:hAnsi="Calibri"/>
          <w:b/>
          <w:color w:val="1C5D99"/>
          <w:sz w:val="26"/>
        </w:rPr>
        <w:t>Safety and rollback rules</w:t>
      </w:r>
    </w:p>
    <w:p>
      <w:pPr>
        <w:pStyle w:val="ListBullet"/>
        <w:spacing w:after="60" w:line="269" w:lineRule="auto"/>
        <w:ind w:left="403"/>
      </w:pPr>
      <w:r>
        <w:rPr>
          <w:rFonts w:ascii="Calibri" w:hAnsi="Calibri"/>
          <w:i w:val="0"/>
          <w:color w:val="141B2E"/>
          <w:sz w:val="21"/>
        </w:rPr>
        <w:t xml:space="preserve">Hard safety gates are fixed configuration in </w:t>
      </w:r>
      <w:r>
        <w:rPr>
          <w:rFonts w:ascii="Consolas" w:hAnsi="Consolas"/>
          <w:color w:val="102A54"/>
          <w:sz w:val="20"/>
        </w:rPr>
        <w:t>layer-3-response-planning.json</w:t>
      </w:r>
      <w:r>
        <w:rPr>
          <w:rFonts w:ascii="Calibri" w:hAnsi="Calibri"/>
          <w:i w:val="0"/>
          <w:color w:val="141B2E"/>
          <w:sz w:val="21"/>
        </w:rPr>
        <w:t>, never learned model weights.</w:t>
      </w:r>
    </w:p>
    <w:p>
      <w:pPr>
        <w:pStyle w:val="ListBullet"/>
        <w:spacing w:after="60" w:line="269" w:lineRule="auto"/>
        <w:ind w:left="403"/>
      </w:pPr>
      <w:r>
        <w:rPr>
          <w:rFonts w:ascii="Calibri" w:hAnsi="Calibri"/>
          <w:i w:val="0"/>
          <w:color w:val="141B2E"/>
          <w:sz w:val="21"/>
        </w:rPr>
        <w:t>Critical-asset allow-lists and maintenance windows reduce urgency but never erase evidence.</w:t>
      </w:r>
    </w:p>
    <w:p>
      <w:pPr>
        <w:pStyle w:val="ListBullet"/>
        <w:spacing w:after="60" w:line="269" w:lineRule="auto"/>
        <w:ind w:left="403"/>
      </w:pPr>
      <w:r>
        <w:rPr>
          <w:rFonts w:ascii="Calibri" w:hAnsi="Calibri"/>
          <w:i w:val="0"/>
          <w:color w:val="141B2E"/>
          <w:sz w:val="21"/>
        </w:rPr>
        <w:t xml:space="preserve">Baseline adaptation freezes when the posterior reaches 0.3 or signature confidence reaches 0.8 — encoded in the layer's </w:t>
      </w:r>
      <w:r>
        <w:rPr>
          <w:rFonts w:ascii="Consolas" w:hAnsi="Consolas"/>
          <w:color w:val="102A54"/>
          <w:sz w:val="20"/>
        </w:rPr>
        <w:t>baselineAdaptation</w:t>
      </w:r>
      <w:r>
        <w:rPr>
          <w:rFonts w:ascii="Calibri" w:hAnsi="Calibri"/>
          <w:i w:val="0"/>
          <w:color w:val="141B2E"/>
          <w:sz w:val="21"/>
        </w:rPr>
        <w:t xml:space="preserve"> block.</w:t>
      </w:r>
    </w:p>
    <w:p>
      <w:pPr>
        <w:pStyle w:val="ListBullet"/>
        <w:spacing w:after="60" w:line="269" w:lineRule="auto"/>
        <w:ind w:left="403"/>
      </w:pPr>
      <w:r>
        <w:rPr>
          <w:rFonts w:ascii="Calibri" w:hAnsi="Calibri"/>
          <w:i w:val="0"/>
          <w:color w:val="141B2E"/>
          <w:sz w:val="21"/>
        </w:rPr>
        <w:t>Keep the previous network package available for immediate rollback.</w:t>
      </w:r>
    </w:p>
    <w:p>
      <w:pPr>
        <w:pStyle w:val="ListBullet"/>
        <w:spacing w:after="60" w:line="269" w:lineRule="auto"/>
        <w:ind w:left="403"/>
      </w:pPr>
      <w:r>
        <w:rPr>
          <w:rFonts w:ascii="Calibri" w:hAnsi="Calibri"/>
          <w:i w:val="0"/>
          <w:color w:val="141B2E"/>
          <w:sz w:val="21"/>
        </w:rPr>
        <w:t>Roll back if false positives exceed budget, source coverage drops, or parsing errors create systematic blind spots.</w:t>
      </w:r>
    </w:p>
    <w:tbl>
      <w:tblPr>
        <w:tblW w:type="auto" w:w="0"/>
        <w:jc w:val="center"/>
        <w:tblLook w:firstColumn="1" w:firstRow="1" w:lastColumn="0" w:lastRow="0" w:noHBand="0" w:noVBand="1" w:val="04A0"/>
        <w:tblBorders>
          <w:top w:val="single" w:sz="4" w:space="0" w:color="FBF1E0"/>
          <w:left w:val="single" w:sz="4" w:space="0" w:color="FBF1E0"/>
          <w:bottom w:val="single" w:sz="4" w:space="0" w:color="FBF1E0"/>
          <w:right w:val="single" w:sz="4" w:space="0" w:color="FBF1E0"/>
          <w:insideH w:val="single" w:sz="4" w:space="0" w:color="FBF1E0"/>
          <w:insideV w:val="single" w:sz="4" w:space="0" w:color="FBF1E0"/>
        </w:tblBorders>
      </w:tblPr>
      <w:tblGrid>
        <w:gridCol w:w="9173"/>
      </w:tblGrid>
      <w:tr>
        <w:tc>
          <w:tcPr>
            <w:tcW w:type="dxa" w:w="9173"/>
            <w:shd w:val="clear" w:color="auto" w:fill="FBF1E0"/>
            <w:tcMar>
              <w:top w:w="120" w:type="dxa"/>
              <w:bottom w:w="120" w:type="dxa"/>
              <w:start w:w="160" w:type="dxa"/>
              <w:end w:w="160" w:type="dxa"/>
            </w:tcMar>
            <w:tcBorders>
              <w:left w:val="single" w:sz="24" w:space="0" w:color="C88A1A"/>
            </w:tcBorders>
          </w:tcPr>
          <w:p>
            <w:pPr>
              <w:spacing w:after="60"/>
            </w:pPr>
            <w:r>
              <w:rPr>
                <w:rFonts w:ascii="Calibri" w:hAnsi="Calibri"/>
                <w:b/>
                <w:color w:val="C88A1A"/>
                <w:sz w:val="21"/>
              </w:rPr>
              <w:t>Honest limitation</w:t>
            </w:r>
          </w:p>
          <w:p>
            <w:pPr>
              <w:spacing w:after="0"/>
            </w:pPr>
            <w:r>
              <w:rPr>
                <w:rFonts w:ascii="Calibri" w:hAnsi="Calibri"/>
                <w:i w:val="0"/>
                <w:color w:val="141B2E"/>
                <w:sz w:val="20"/>
              </w:rPr>
              <w:t>The checked-in reference network is trained on a synthetic, deterministic corpus. It is excellent for repeatable pipeline evidence and safety-gate regression, but it does not establish real-world detection quality. Production claims require retraining on external multi-source datasets (see the Training Guide) and validation on representative enterprise telemetry.</w:t>
            </w:r>
          </w:p>
        </w:tc>
      </w:tr>
    </w:tbl>
    <w:p>
      <w:pPr>
        <w:spacing w:after="0" w:before="0"/>
      </w:pPr>
      <w:r>
        <w:rPr>
          <w:sz w:val="12"/>
        </w:rPr>
      </w:r>
    </w:p>
    <w:p>
      <w:pPr>
        <w:keepNext/>
        <w:spacing w:before="320" w:after="40"/>
        <w:pBdr>
          <w:bottom w:val="single" w:sz="10" w:space="4" w:color="0E7C86"/>
        </w:pBdr>
      </w:pPr>
      <w:r>
        <w:rPr>
          <w:rFonts w:ascii="Calibri" w:hAnsi="Calibri"/>
          <w:b/>
          <w:color w:val="0E7C86"/>
          <w:sz w:val="34"/>
        </w:rPr>
        <w:t xml:space="preserve">13  </w:t>
      </w:r>
      <w:r>
        <w:rPr>
          <w:rFonts w:ascii="Calibri" w:hAnsi="Calibri"/>
          <w:b/>
          <w:color w:val="102A54"/>
          <w:sz w:val="34"/>
        </w:rPr>
        <w:t>Troubleshooting</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4586"/>
        <w:gridCol w:w="4586"/>
      </w:tblGrid>
      <w:tr>
        <w:tc>
          <w:tcPr>
            <w:tcW w:type="dxa" w:w="4320"/>
            <w:shd w:val="clear" w:color="auto" w:fill="0E7C86"/>
            <w:tcMar>
              <w:top w:w="60" w:type="dxa"/>
              <w:bottom w:w="60" w:type="dxa"/>
              <w:start w:w="110" w:type="dxa"/>
              <w:end w:w="110" w:type="dxa"/>
            </w:tcMar>
            <w:vAlign w:val="center"/>
          </w:tcPr>
          <w:p>
            <w:pPr>
              <w:spacing w:after="0"/>
            </w:pPr>
            <w:r>
              <w:rPr>
                <w:rFonts w:ascii="Calibri" w:hAnsi="Calibri"/>
                <w:b/>
                <w:color w:val="FFFFFF"/>
                <w:sz w:val="19"/>
              </w:rPr>
              <w:t>Symptom</w:t>
            </w:r>
          </w:p>
        </w:tc>
        <w:tc>
          <w:tcPr>
            <w:tcW w:type="dxa" w:w="5472"/>
            <w:shd w:val="clear" w:color="auto" w:fill="0E7C86"/>
            <w:tcMar>
              <w:top w:w="60" w:type="dxa"/>
              <w:bottom w:w="60" w:type="dxa"/>
              <w:start w:w="110" w:type="dxa"/>
              <w:end w:w="110" w:type="dxa"/>
            </w:tcMar>
            <w:vAlign w:val="center"/>
          </w:tcPr>
          <w:p>
            <w:pPr>
              <w:spacing w:after="0"/>
            </w:pPr>
            <w:r>
              <w:rPr>
                <w:rFonts w:ascii="Calibri" w:hAnsi="Calibri"/>
                <w:b/>
                <w:color w:val="FFFFFF"/>
                <w:sz w:val="19"/>
              </w:rPr>
              <w:t>Likely cause and fix</w:t>
            </w:r>
          </w:p>
        </w:tc>
      </w:tr>
      <w:tr>
        <w:tc>
          <w:tcPr>
            <w:tcW w:type="dxa" w:w="4320"/>
            <w:shd w:val="clear" w:color="auto" w:fill="F4F7FB"/>
            <w:tcMar>
              <w:top w:w="60" w:type="dxa"/>
              <w:bottom w:w="60" w:type="dxa"/>
              <w:start w:w="110" w:type="dxa"/>
              <w:end w:w="110" w:type="dxa"/>
            </w:tcMar>
            <w:vAlign w:val="center"/>
          </w:tcPr>
          <w:p>
            <w:pPr>
              <w:spacing w:after="0" w:line="252" w:lineRule="auto"/>
            </w:pPr>
            <w:r>
              <w:rPr>
                <w:rFonts w:ascii="Consolas" w:hAnsi="Consolas"/>
                <w:color w:val="102A54"/>
                <w:sz w:val="18"/>
              </w:rPr>
              <w:t>Cannot find class … in provided jar</w:t>
            </w:r>
          </w:p>
        </w:tc>
        <w:tc>
          <w:tcPr>
            <w:tcW w:type="dxa" w:w="547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 xml:space="preserve">A class in </w:t>
            </w:r>
            <w:r>
              <w:rPr>
                <w:rFonts w:ascii="Consolas" w:hAnsi="Consolas"/>
                <w:color w:val="102A54"/>
                <w:sz w:val="18"/>
              </w:rPr>
              <w:t>configuration.neuronnet.classes</w:t>
            </w:r>
            <w:r>
              <w:rPr>
                <w:rFonts w:ascii="Calibri" w:hAnsi="Calibri"/>
                <w:i w:val="0"/>
                <w:color w:val="141B2E"/>
                <w:sz w:val="19"/>
              </w:rPr>
              <w:t xml:space="preserve"> is missing — rebuild the deployment JAR</w:t>
            </w:r>
          </w:p>
        </w:tc>
      </w:tr>
      <w:tr>
        <w:tc>
          <w:tcPr>
            <w:tcW w:type="dxa" w:w="432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Worker starts but emits nothing</w:t>
            </w:r>
          </w:p>
        </w:tc>
        <w:tc>
          <w:tcPr>
            <w:tcW w:type="dxa" w:w="547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 xml:space="preserve">Check the event source </w:t>
            </w:r>
            <w:r>
              <w:rPr>
                <w:rFonts w:ascii="Consolas" w:hAnsi="Consolas"/>
                <w:color w:val="102A54"/>
                <w:sz w:val="18"/>
              </w:rPr>
              <w:t>clazz</w:t>
            </w:r>
            <w:r>
              <w:rPr>
                <w:rFonts w:ascii="Calibri" w:hAnsi="Calibri"/>
                <w:i w:val="0"/>
                <w:color w:val="141B2E"/>
                <w:sz w:val="19"/>
              </w:rPr>
              <w:t xml:space="preserve"> and that </w:t>
            </w:r>
            <w:r>
              <w:rPr>
                <w:rFonts w:ascii="Consolas" w:hAnsi="Consolas"/>
                <w:color w:val="102A54"/>
                <w:sz w:val="18"/>
              </w:rPr>
              <w:t>readSignals()</w:t>
            </w:r>
            <w:r>
              <w:rPr>
                <w:rFonts w:ascii="Calibri" w:hAnsi="Calibri"/>
                <w:i w:val="0"/>
                <w:color w:val="141B2E"/>
                <w:sz w:val="19"/>
              </w:rPr>
              <w:t xml:space="preserve"> returns typed signals</w:t>
            </w:r>
          </w:p>
        </w:tc>
      </w:tr>
      <w:tr>
        <w:tc>
          <w:tcPr>
            <w:tcW w:type="dxa" w:w="432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Layer not loaded / structure error</w:t>
            </w:r>
          </w:p>
        </w:tc>
        <w:tc>
          <w:tcPr>
            <w:tcW w:type="dxa" w:w="547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 xml:space="preserve">Confirm </w:t>
            </w:r>
            <w:r>
              <w:rPr>
                <w:rFonts w:ascii="Consolas" w:hAnsi="Consolas"/>
                <w:color w:val="102A54"/>
                <w:sz w:val="18"/>
              </w:rPr>
              <w:t>configuration.input.layermeta</w:t>
            </w:r>
            <w:r>
              <w:rPr>
                <w:rFonts w:ascii="Calibri" w:hAnsi="Calibri"/>
                <w:i w:val="0"/>
                <w:color w:val="141B2E"/>
                <w:sz w:val="19"/>
              </w:rPr>
              <w:t xml:space="preserve"> points at the generated layer directory</w:t>
            </w:r>
          </w:p>
        </w:tc>
      </w:tr>
      <w:tr>
        <w:tc>
          <w:tcPr>
            <w:tcW w:type="dxa" w:w="432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Worker exits immediately</w:t>
            </w:r>
          </w:p>
        </w:tc>
        <w:tc>
          <w:tcPr>
            <w:tcW w:type="dxa" w:w="547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 xml:space="preserve">For a live detector set </w:t>
            </w:r>
            <w:r>
              <w:rPr>
                <w:rFonts w:ascii="Consolas" w:hAnsi="Consolas"/>
                <w:color w:val="102A54"/>
                <w:sz w:val="18"/>
              </w:rPr>
              <w:t>infiniteRun=true</w:t>
            </w:r>
            <w:r>
              <w:rPr>
                <w:rFonts w:ascii="Calibri" w:hAnsi="Calibri"/>
                <w:i w:val="0"/>
                <w:color w:val="141B2E"/>
                <w:sz w:val="19"/>
              </w:rPr>
              <w:t xml:space="preserve">; </w:t>
            </w:r>
            <w:r>
              <w:rPr>
                <w:rFonts w:ascii="Consolas" w:hAnsi="Consolas"/>
                <w:color w:val="102A54"/>
                <w:sz w:val="18"/>
              </w:rPr>
              <w:t>maxRun</w:t>
            </w:r>
            <w:r>
              <w:rPr>
                <w:rFonts w:ascii="Calibri" w:hAnsi="Calibri"/>
                <w:i w:val="0"/>
                <w:color w:val="141B2E"/>
                <w:sz w:val="19"/>
              </w:rPr>
              <w:t xml:space="preserve"> only applies to bounded replay</w:t>
            </w:r>
          </w:p>
        </w:tc>
      </w:tr>
      <w:tr>
        <w:tc>
          <w:tcPr>
            <w:tcW w:type="dxa" w:w="432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Advisories emit a blocking action</w:t>
            </w:r>
          </w:p>
        </w:tc>
        <w:tc>
          <w:tcPr>
            <w:tcW w:type="dxa" w:w="547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Verify the response layer is ADVISORY; this is a regression to report</w:t>
            </w:r>
          </w:p>
        </w:tc>
      </w:tr>
      <w:tr>
        <w:tc>
          <w:tcPr>
            <w:tcW w:type="dxa" w:w="432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Wrong threshold or weights at runtime</w:t>
            </w:r>
          </w:p>
        </w:tc>
        <w:tc>
          <w:tcPr>
            <w:tcW w:type="dxa" w:w="547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You deployed a stale layer directory; redeploy the latest trained package</w:t>
            </w:r>
          </w:p>
        </w:tc>
      </w:tr>
      <w:tr>
        <w:tc>
          <w:tcPr>
            <w:tcW w:type="dxa" w:w="432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Cyrillic / encoding issues in output</w:t>
            </w:r>
          </w:p>
        </w:tc>
        <w:tc>
          <w:tcPr>
            <w:tcW w:type="dxa" w:w="547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Ensure the aggregator writes UTF-8</w:t>
            </w:r>
          </w:p>
        </w:tc>
      </w:tr>
    </w:tbl>
    <w:p>
      <w:pPr>
        <w:spacing w:after="0" w:before="0"/>
      </w:pPr>
      <w:r>
        <w:rPr>
          <w:sz w:val="12"/>
        </w:rPr>
      </w:r>
    </w:p>
    <w:p>
      <w:pPr>
        <w:keepNext/>
        <w:spacing w:before="320" w:after="40"/>
        <w:pBdr>
          <w:bottom w:val="single" w:sz="10" w:space="4" w:color="0E7C86"/>
        </w:pBdr>
      </w:pPr>
      <w:r>
        <w:rPr>
          <w:rFonts w:ascii="Calibri" w:hAnsi="Calibri"/>
          <w:b/>
          <w:color w:val="0E7C86"/>
          <w:sz w:val="34"/>
        </w:rPr>
        <w:t xml:space="preserve">14  </w:t>
      </w:r>
      <w:r>
        <w:rPr>
          <w:rFonts w:ascii="Calibri" w:hAnsi="Calibri"/>
          <w:b/>
          <w:color w:val="102A54"/>
          <w:sz w:val="34"/>
        </w:rPr>
        <w:t>Appendix — deployment cheat-sheet</w:t>
      </w:r>
    </w:p>
    <w:p>
      <w:pPr>
        <w:keepNext/>
        <w:spacing w:before="180" w:after="20"/>
      </w:pPr>
      <w:r>
        <w:rPr>
          <w:rFonts w:ascii="Calibri" w:hAnsi="Calibri"/>
          <w:b/>
          <w:color w:val="0E7C86"/>
          <w:sz w:val="22"/>
        </w:rPr>
        <w:t>Launch a production advisory worker</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173"/>
      </w:tblGrid>
      <w:tr>
        <w:tc>
          <w:tcPr>
            <w:tcW w:type="dxa" w:w="9173"/>
            <w:shd w:val="clear" w:color="auto" w:fill="0E1A2B"/>
            <w:tcMar>
              <w:top w:w="90" w:type="dxa"/>
              <w:bottom w:w="90" w:type="dxa"/>
              <w:start w:w="140" w:type="dxa"/>
              <w:end w:w="140" w:type="dxa"/>
            </w:tcMar>
          </w:tcPr>
          <w:p>
            <w:pPr>
              <w:spacing w:after="0" w:line="254" w:lineRule="auto"/>
            </w:pPr>
            <w:r>
              <w:rPr>
                <w:rFonts w:ascii="Consolas" w:hAnsi="Consolas"/>
                <w:color w:val="D6E7C8"/>
                <w:sz w:val="18"/>
              </w:rPr>
              <w:t>java -cp "worker-1.0.jar:libs/*" \</w:t>
            </w:r>
          </w:p>
          <w:p>
            <w:pPr>
              <w:spacing w:after="0" w:line="254" w:lineRule="auto"/>
            </w:pPr>
            <w:r>
              <w:rPr>
                <w:rFonts w:ascii="Consolas" w:hAnsi="Consolas"/>
                <w:color w:val="D6E7C8"/>
                <w:sz w:val="18"/>
              </w:rPr>
              <w:t xml:space="preserve">  com.rakovpublic.jneuropallium.worker.application.Entry \</w:t>
            </w:r>
          </w:p>
          <w:p>
            <w:pPr>
              <w:spacing w:after="0" w:line="254" w:lineRule="auto"/>
            </w:pPr>
            <w:r>
              <w:rPr>
                <w:rFonts w:ascii="Consolas" w:hAnsi="Consolas"/>
                <w:color w:val="D6E7C8"/>
                <w:sz w:val="18"/>
              </w:rPr>
              <w:t xml:space="preserve">  local file:///opt/jneo/cyber-model.jar \</w:t>
            </w:r>
          </w:p>
          <w:p>
            <w:pPr>
              <w:spacing w:after="0" w:line="254" w:lineRule="auto"/>
            </w:pPr>
            <w:r>
              <w:rPr>
                <w:rFonts w:ascii="Consolas" w:hAnsi="Consolas"/>
                <w:color w:val="D6E7C8"/>
                <w:sz w:val="18"/>
              </w:rPr>
              <w:t xml:space="preserve">  com.rakovpublic.jneuropallium.worker.demo.fullrun.runtime.DemoJsonContext \</w:t>
            </w:r>
          </w:p>
          <w:p>
            <w:pPr>
              <w:spacing w:after="0" w:line="254" w:lineRule="auto"/>
            </w:pPr>
            <w:r>
              <w:rPr>
                <w:rFonts w:ascii="Consolas" w:hAnsi="Consolas"/>
                <w:color w:val="D6E7C8"/>
                <w:sz w:val="18"/>
              </w:rPr>
              <w:t xml:space="preserve">  /opt/jneo/cyber-context.json</w:t>
            </w:r>
          </w:p>
        </w:tc>
      </w:tr>
    </w:tbl>
    <w:p>
      <w:pPr>
        <w:spacing w:after="0" w:before="0"/>
      </w:pPr>
      <w:r>
        <w:rPr>
          <w:sz w:val="8"/>
        </w:rPr>
      </w:r>
    </w:p>
    <w:p>
      <w:pPr>
        <w:keepNext/>
        <w:spacing w:before="180" w:after="20"/>
      </w:pPr>
      <w:r>
        <w:rPr>
          <w:rFonts w:ascii="Calibri" w:hAnsi="Calibri"/>
          <w:b/>
          <w:color w:val="0E7C86"/>
          <w:sz w:val="22"/>
        </w:rPr>
        <w:t>The advisory-worker context essentials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173"/>
      </w:tblGrid>
      <w:tr>
        <w:tc>
          <w:tcPr>
            <w:tcW w:type="dxa" w:w="9173"/>
            <w:shd w:val="clear" w:color="auto" w:fill="0E1A2B"/>
            <w:tcMar>
              <w:top w:w="90" w:type="dxa"/>
              <w:bottom w:w="90" w:type="dxa"/>
              <w:start w:w="140" w:type="dxa"/>
              <w:end w:w="140" w:type="dxa"/>
            </w:tcMar>
          </w:tcPr>
          <w:p>
            <w:pPr>
              <w:spacing w:after="0" w:line="254" w:lineRule="auto"/>
            </w:pPr>
            <w:r>
              <w:rPr>
                <w:rFonts w:ascii="Consolas" w:hAnsi="Consolas"/>
                <w:color w:val="D6E7C8"/>
                <w:sz w:val="18"/>
              </w:rPr>
              <w:t>configuration.input.layermeta   = &lt;generated layer directory&gt;</w:t>
            </w:r>
          </w:p>
          <w:p>
            <w:pPr>
              <w:spacing w:after="0" w:line="254" w:lineRule="auto"/>
            </w:pPr>
            <w:r>
              <w:rPr>
                <w:rFonts w:ascii="Consolas" w:hAnsi="Consolas"/>
                <w:color w:val="D6E7C8"/>
                <w:sz w:val="18"/>
              </w:rPr>
              <w:t>configuration.isteacherstudying = false</w:t>
            </w:r>
          </w:p>
          <w:p>
            <w:pPr>
              <w:spacing w:after="0" w:line="254" w:lineRule="auto"/>
            </w:pPr>
            <w:r>
              <w:rPr>
                <w:rFonts w:ascii="Consolas" w:hAnsi="Consolas"/>
                <w:color w:val="D6E7C8"/>
                <w:sz w:val="18"/>
              </w:rPr>
              <w:t>configuration.discriminatorsAmount = 0</w:t>
            </w:r>
          </w:p>
          <w:p>
            <w:pPr>
              <w:spacing w:after="0" w:line="254" w:lineRule="auto"/>
            </w:pPr>
            <w:r>
              <w:rPr>
                <w:rFonts w:ascii="Consolas" w:hAnsi="Consolas"/>
                <w:color w:val="D6E7C8"/>
                <w:sz w:val="18"/>
              </w:rPr>
              <w:t>configuration.infiniteRun       = true</w:t>
            </w:r>
          </w:p>
          <w:p>
            <w:pPr>
              <w:spacing w:after="0" w:line="254" w:lineRule="auto"/>
            </w:pPr>
            <w:r>
              <w:rPr>
                <w:rFonts w:ascii="Consolas" w:hAnsi="Consolas"/>
                <w:color w:val="D6E7C8"/>
                <w:sz w:val="18"/>
              </w:rPr>
              <w:t>configuration.runoncein         = 1000</w:t>
            </w:r>
          </w:p>
          <w:p>
            <w:pPr>
              <w:spacing w:after="0" w:line="254" w:lineRule="auto"/>
            </w:pPr>
            <w:r>
              <w:rPr>
                <w:rFonts w:ascii="Consolas" w:hAnsi="Consolas"/>
                <w:color w:val="D6E7C8"/>
                <w:sz w:val="18"/>
              </w:rPr>
              <w:t>configuration.outputAggregator  = &lt;your IOutputAggregator&gt;</w:t>
            </w:r>
          </w:p>
        </w:tc>
      </w:tr>
    </w:tbl>
    <w:p>
      <w:pPr>
        <w:spacing w:after="0" w:before="0"/>
      </w:pPr>
      <w:r>
        <w:rPr>
          <w:sz w:val="8"/>
        </w:rPr>
      </w:r>
    </w:p>
    <w:p>
      <w:pPr>
        <w:spacing w:after="0" w:before="0"/>
      </w:pPr>
      <w:r>
        <w:rPr>
          <w:sz w:val="16"/>
        </w:rPr>
      </w:r>
    </w:p>
    <w:p>
      <w:pPr>
        <w:spacing w:after="120"/>
      </w:pPr>
      <w:r>
        <w:rPr>
          <w:rFonts w:ascii="Calibri" w:hAnsi="Calibri"/>
          <w:i/>
          <w:color w:val="0E7C86"/>
          <w:sz w:val="21"/>
        </w:rPr>
        <w:t>Jneopallium Cybersecurity Module · Demo 06 · Deployment Guide. Consumes the network produced by the Training Guide. Safety mode: ADVISORY. Active enforcement requires a separate approved safety case. License: BSD 3-Clause.</w:t>
      </w:r>
    </w:p>
    <w:sectPr w:rsidR="00FC693F" w:rsidRPr="0006063C" w:rsidSect="00034616">
      <w:footerReference w:type="default" r:id="rId9"/>
      <w:pgSz w:w="11909" w:h="16834"/>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8A93A6"/>
        <w:sz w:val="16"/>
      </w:rPr>
      <w:t>Jneopallium · Demo 06 · Temporal Cybersecurity Threat Correlation · ADVISORY</w:t>
    </w:r>
    <w:r>
      <w:rPr>
        <w:sz w:val="16"/>
      </w:rPr>
      <w:t xml:space="preserve">    </w:t>
    </w:r>
    <w:r>
      <w:rPr>
        <w:color w:val="8A93A6"/>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olor w:val="141B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