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173"/>
      </w:tblGrid>
      <w:tr>
        <w:tc>
          <w:tcPr>
            <w:tcW w:type="dxa" w:w="9173"/>
            <w:shd w:val="clear" w:color="auto" w:fill="102A54"/>
            <w:tcMar>
              <w:top w:w="260" w:type="dxa"/>
              <w:bottom w:w="260" w:type="dxa"/>
              <w:start w:w="240" w:type="dxa"/>
              <w:end w:w="2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8FC2F0"/>
                <w:sz w:val="22"/>
              </w:rPr>
              <w:t>JNEOPALLIUM · ДЕМО 06</w:t>
            </w:r>
          </w:p>
          <w:p>
            <w:pPr>
              <w:spacing w:after="40"/>
            </w:pPr>
            <w:r>
              <w:rPr>
                <w:rFonts w:ascii="Calibri" w:hAnsi="Calibri"/>
                <w:color w:val="B9C6DA"/>
                <w:sz w:val="18"/>
              </w:rPr>
              <w:t>ПОСІБНИК З НАВЧАННЯ</w:t>
            </w:r>
          </w:p>
        </w:tc>
      </w:tr>
    </w:tbl>
    <w:p>
      <w:pPr>
        <w:spacing w:after="0" w:before="0"/>
      </w:pPr>
      <w:r>
        <w:rPr>
          <w:sz w:val="40"/>
        </w:rPr>
      </w:r>
    </w:p>
    <w:p>
      <w:pPr>
        <w:spacing w:after="80"/>
      </w:pPr>
      <w:r>
        <w:rPr>
          <w:rFonts w:ascii="Calibri" w:hAnsi="Calibri"/>
          <w:b/>
          <w:color w:val="102A54"/>
          <w:sz w:val="60"/>
        </w:rPr>
        <w:t>Посібник з навчання</w:t>
      </w:r>
    </w:p>
    <w:p>
      <w:pPr>
        <w:spacing w:after="200"/>
      </w:pPr>
      <w:r>
        <w:rPr>
          <w:rFonts w:ascii="Calibri" w:hAnsi="Calibri"/>
          <w:color w:val="1C5D99"/>
          <w:sz w:val="28"/>
        </w:rPr>
        <w:t>Часова кореляція кіберзагроз — зберіть, навчіть і отримайте готову до розгортання мережу</w:t>
      </w:r>
    </w:p>
    <w:p>
      <w:pPr>
        <w:pBdr>
          <w:bottom w:val="single" w:sz="10" w:space="4" w:color="0E7C86"/>
        </w:pBdr>
      </w:pPr>
    </w:p>
    <w:p>
      <w:pPr>
        <w:spacing w:after="0" w:before="0"/>
      </w:pPr>
      <w:r>
        <w:rPr>
          <w:sz w:val="16"/>
        </w:rPr>
      </w:r>
    </w:p>
    <w:p>
      <w:pPr>
        <w:spacing w:after="120"/>
      </w:pPr>
      <w:r>
        <w:rPr>
          <w:rFonts w:ascii="Calibri" w:hAnsi="Calibri"/>
          <w:i/>
          <w:color w:val="555F70"/>
          <w:sz w:val="23"/>
        </w:rPr>
        <w:t>Повний покроковий маршрут для копіювання навчальної половини конвеєра: встановіть інструментарій, зберіть платформу, запустіть демо, навчіть модель на еталонних і реальних даних і отримайте готову до розгортання мережу, яку споживає Посібник з розгортання.</w:t>
      </w:r>
    </w:p>
    <w:p>
      <w:pPr>
        <w:spacing w:after="0" w:before="0"/>
      </w:pPr>
      <w:r>
        <w:rPr>
          <w:sz w:val="20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86"/>
        <w:gridCol w:w="4586"/>
      </w:tblGrid>
      <w:tr>
        <w:tc>
          <w:tcPr>
            <w:tcW w:type="dxa" w:w="4586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F70"/>
                <w:sz w:val="19"/>
              </w:rPr>
              <w:t>Документ</w:t>
            </w:r>
          </w:p>
        </w:tc>
        <w:tc>
          <w:tcPr>
            <w:tcW w:type="dxa" w:w="4586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B2E"/>
                <w:sz w:val="19"/>
              </w:rPr>
              <w:t>Посібник з навчання моделі</w:t>
            </w:r>
          </w:p>
        </w:tc>
      </w:tr>
      <w:tr>
        <w:tc>
          <w:tcPr>
            <w:tcW w:type="dxa" w:w="4586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F70"/>
                <w:sz w:val="19"/>
              </w:rPr>
              <w:t>Продукт</w:t>
            </w:r>
          </w:p>
        </w:tc>
        <w:tc>
          <w:tcPr>
            <w:tcW w:type="dxa" w:w="4586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B2E"/>
                <w:sz w:val="19"/>
              </w:rPr>
              <w:t>Модуль кібербезпеки Jneopallium (Демо 06)</w:t>
            </w:r>
          </w:p>
        </w:tc>
      </w:tr>
      <w:tr>
        <w:tc>
          <w:tcPr>
            <w:tcW w:type="dxa" w:w="4586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F70"/>
                <w:sz w:val="19"/>
              </w:rPr>
              <w:t>Модель</w:t>
            </w:r>
          </w:p>
        </w:tc>
        <w:tc>
          <w:tcPr>
            <w:tcW w:type="dxa" w:w="4586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B2E"/>
                <w:sz w:val="19"/>
              </w:rPr>
              <w:t>cybersecurity-temporal-threat-correlator 1.0.0</w:t>
            </w:r>
          </w:p>
        </w:tc>
      </w:tr>
      <w:tr>
        <w:tc>
          <w:tcPr>
            <w:tcW w:type="dxa" w:w="4586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F70"/>
                <w:sz w:val="19"/>
              </w:rPr>
              <w:t>Тренер</w:t>
            </w:r>
          </w:p>
        </w:tc>
        <w:tc>
          <w:tcPr>
            <w:tcW w:type="dxa" w:w="4586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B2E"/>
                <w:sz w:val="19"/>
              </w:rPr>
              <w:t>scripts/demo-cybersecurity-training/train_temporal_model.py</w:t>
            </w:r>
          </w:p>
        </w:tc>
      </w:tr>
      <w:tr>
        <w:tc>
          <w:tcPr>
            <w:tcW w:type="dxa" w:w="4586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F70"/>
                <w:sz w:val="19"/>
              </w:rPr>
              <w:t>Вихід</w:t>
            </w:r>
          </w:p>
        </w:tc>
        <w:tc>
          <w:tcPr>
            <w:tcW w:type="dxa" w:w="4586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B2E"/>
                <w:sz w:val="19"/>
              </w:rPr>
              <w:t>Готова до розгортання конфігурація JNeopallium</w:t>
            </w:r>
          </w:p>
        </w:tc>
      </w:tr>
      <w:tr>
        <w:tc>
          <w:tcPr>
            <w:tcW w:type="dxa" w:w="4586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F70"/>
                <w:sz w:val="19"/>
              </w:rPr>
              <w:t>Автор</w:t>
            </w:r>
          </w:p>
        </w:tc>
        <w:tc>
          <w:tcPr>
            <w:tcW w:type="dxa" w:w="4586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B2E"/>
                <w:sz w:val="19"/>
              </w:rPr>
              <w:t>Дмитро Раковський — Харків, Україна</w:t>
            </w:r>
          </w:p>
        </w:tc>
      </w:tr>
      <w:tr>
        <w:tc>
          <w:tcPr>
            <w:tcW w:type="dxa" w:w="4586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F70"/>
                <w:sz w:val="19"/>
              </w:rPr>
              <w:t>Дата</w:t>
            </w:r>
          </w:p>
        </w:tc>
        <w:tc>
          <w:tcPr>
            <w:tcW w:type="dxa" w:w="4586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B2E"/>
                <w:sz w:val="19"/>
              </w:rPr>
              <w:t>23 червня 2026</w:t>
            </w:r>
          </w:p>
        </w:tc>
      </w:tr>
      <w:tr>
        <w:tc>
          <w:tcPr>
            <w:tcW w:type="dxa" w:w="2448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F70"/>
                <w:sz w:val="19"/>
              </w:rPr>
              <w:t>Ліцензія</w:t>
            </w:r>
          </w:p>
        </w:tc>
        <w:tc>
          <w:tcPr>
            <w:tcW w:type="dxa" w:w="6624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B2E"/>
                <w:sz w:val="19"/>
              </w:rPr>
              <w:t>BSD 3-Clause</w:t>
            </w:r>
          </w:p>
        </w:tc>
      </w:tr>
    </w:tbl>
    <w:p>
      <w:r>
        <w:br w:type="page"/>
      </w:r>
    </w:p>
    <w:p>
      <w:pPr>
        <w:keepNext/>
        <w:spacing w:before="320" w:after="40"/>
        <w:pBdr>
          <w:bottom w:val="single" w:sz="10" w:space="4" w:color="0E7C86"/>
        </w:pBdr>
      </w:pPr>
      <w:r>
        <w:rPr>
          <w:rFonts w:ascii="Calibri" w:hAnsi="Calibri"/>
          <w:b/>
          <w:color w:val="102A54"/>
          <w:sz w:val="34"/>
        </w:rPr>
        <w:t>Зміст</w:t>
      </w:r>
    </w:p>
    <w:p>
      <w:pPr>
        <w:spacing w:after="80"/>
        <w:ind w:left="144"/>
      </w:pPr>
      <w:r>
        <w:rPr>
          <w:rFonts w:ascii="Calibri" w:hAnsi="Calibri"/>
          <w:b/>
          <w:color w:val="0E7C86"/>
          <w:sz w:val="21"/>
        </w:rPr>
        <w:t xml:space="preserve"> 1.  </w:t>
      </w:r>
      <w:r>
        <w:rPr>
          <w:rFonts w:ascii="Calibri" w:hAnsi="Calibri"/>
          <w:color w:val="141B2E"/>
          <w:sz w:val="21"/>
        </w:rPr>
        <w:t>Чого ви досягнете</w:t>
      </w:r>
    </w:p>
    <w:p>
      <w:pPr>
        <w:spacing w:after="80"/>
        <w:ind w:left="144"/>
      </w:pPr>
      <w:r>
        <w:rPr>
          <w:rFonts w:ascii="Calibri" w:hAnsi="Calibri"/>
          <w:b/>
          <w:color w:val="0E7C86"/>
          <w:sz w:val="21"/>
        </w:rPr>
        <w:t xml:space="preserve"> 2.  </w:t>
      </w:r>
      <w:r>
        <w:rPr>
          <w:rFonts w:ascii="Calibri" w:hAnsi="Calibri"/>
          <w:color w:val="141B2E"/>
          <w:sz w:val="21"/>
        </w:rPr>
        <w:t>Де закінчується навчання і починається розгортання</w:t>
      </w:r>
    </w:p>
    <w:p>
      <w:pPr>
        <w:spacing w:after="80"/>
        <w:ind w:left="144"/>
      </w:pPr>
      <w:r>
        <w:rPr>
          <w:rFonts w:ascii="Calibri" w:hAnsi="Calibri"/>
          <w:b/>
          <w:color w:val="0E7C86"/>
          <w:sz w:val="21"/>
        </w:rPr>
        <w:t xml:space="preserve"> 3.  </w:t>
      </w:r>
      <w:r>
        <w:rPr>
          <w:rFonts w:ascii="Calibri" w:hAnsi="Calibri"/>
          <w:color w:val="141B2E"/>
          <w:sz w:val="21"/>
        </w:rPr>
        <w:t>Передумови та системні вимоги</w:t>
      </w:r>
    </w:p>
    <w:p>
      <w:pPr>
        <w:spacing w:after="80"/>
        <w:ind w:left="144"/>
      </w:pPr>
      <w:r>
        <w:rPr>
          <w:rFonts w:ascii="Calibri" w:hAnsi="Calibri"/>
          <w:b/>
          <w:color w:val="0E7C86"/>
          <w:sz w:val="21"/>
        </w:rPr>
        <w:t xml:space="preserve"> 4.  </w:t>
      </w:r>
      <w:r>
        <w:rPr>
          <w:rFonts w:ascii="Calibri" w:hAnsi="Calibri"/>
          <w:color w:val="141B2E"/>
          <w:sz w:val="21"/>
        </w:rPr>
        <w:t>Крок 1 — Отримати код і зібрати</w:t>
      </w:r>
    </w:p>
    <w:p>
      <w:pPr>
        <w:spacing w:after="80"/>
        <w:ind w:left="144"/>
      </w:pPr>
      <w:r>
        <w:rPr>
          <w:rFonts w:ascii="Calibri" w:hAnsi="Calibri"/>
          <w:b/>
          <w:color w:val="0E7C86"/>
          <w:sz w:val="21"/>
        </w:rPr>
        <w:t xml:space="preserve"> 5.  </w:t>
      </w:r>
      <w:r>
        <w:rPr>
          <w:rFonts w:ascii="Calibri" w:hAnsi="Calibri"/>
          <w:color w:val="141B2E"/>
          <w:sz w:val="21"/>
        </w:rPr>
        <w:t>Крок 2 — Запустити демо кібербезпеки</w:t>
      </w:r>
    </w:p>
    <w:p>
      <w:pPr>
        <w:spacing w:after="80"/>
        <w:ind w:left="144"/>
      </w:pPr>
      <w:r>
        <w:rPr>
          <w:rFonts w:ascii="Calibri" w:hAnsi="Calibri"/>
          <w:b/>
          <w:color w:val="0E7C86"/>
          <w:sz w:val="21"/>
        </w:rPr>
        <w:t xml:space="preserve"> 6.  </w:t>
      </w:r>
      <w:r>
        <w:rPr>
          <w:rFonts w:ascii="Calibri" w:hAnsi="Calibri"/>
          <w:color w:val="141B2E"/>
          <w:sz w:val="21"/>
        </w:rPr>
        <w:t>Крок 3 — Зрозуміти згенеровані результати демо</w:t>
      </w:r>
    </w:p>
    <w:p>
      <w:pPr>
        <w:spacing w:after="80"/>
        <w:ind w:left="144"/>
      </w:pPr>
      <w:r>
        <w:rPr>
          <w:rFonts w:ascii="Calibri" w:hAnsi="Calibri"/>
          <w:b/>
          <w:color w:val="0E7C86"/>
          <w:sz w:val="21"/>
        </w:rPr>
        <w:t xml:space="preserve"> 7.  </w:t>
      </w:r>
      <w:r>
        <w:rPr>
          <w:rFonts w:ascii="Calibri" w:hAnsi="Calibri"/>
          <w:color w:val="141B2E"/>
          <w:sz w:val="21"/>
        </w:rPr>
        <w:t>Крок 4 — Навчити еталонну модель</w:t>
      </w:r>
    </w:p>
    <w:p>
      <w:pPr>
        <w:spacing w:after="80"/>
        <w:ind w:left="144"/>
      </w:pPr>
      <w:r>
        <w:rPr>
          <w:rFonts w:ascii="Calibri" w:hAnsi="Calibri"/>
          <w:b/>
          <w:color w:val="0E7C86"/>
          <w:sz w:val="21"/>
        </w:rPr>
        <w:t xml:space="preserve"> 8.  </w:t>
      </w:r>
      <w:r>
        <w:rPr>
          <w:rFonts w:ascii="Calibri" w:hAnsi="Calibri"/>
          <w:color w:val="141B2E"/>
          <w:sz w:val="21"/>
        </w:rPr>
        <w:t>Крок 5 — Навчання у промисловому масштабі</w:t>
      </w:r>
    </w:p>
    <w:p>
      <w:pPr>
        <w:spacing w:after="80"/>
        <w:ind w:left="144"/>
      </w:pPr>
      <w:r>
        <w:rPr>
          <w:rFonts w:ascii="Calibri" w:hAnsi="Calibri"/>
          <w:b/>
          <w:color w:val="0E7C86"/>
          <w:sz w:val="21"/>
        </w:rPr>
        <w:t xml:space="preserve"> 9.  </w:t>
      </w:r>
      <w:r>
        <w:rPr>
          <w:rFonts w:ascii="Calibri" w:hAnsi="Calibri"/>
          <w:color w:val="141B2E"/>
          <w:sz w:val="21"/>
        </w:rPr>
        <w:t>Крок 6 — Навчання на зовнішніх даних (режим маніфесту)</w:t>
      </w:r>
    </w:p>
    <w:p>
      <w:pPr>
        <w:spacing w:after="80"/>
        <w:ind w:left="144"/>
      </w:pPr>
      <w:r>
        <w:rPr>
          <w:rFonts w:ascii="Calibri" w:hAnsi="Calibri"/>
          <w:b/>
          <w:color w:val="0E7C86"/>
          <w:sz w:val="21"/>
        </w:rPr>
        <w:t xml:space="preserve">10.  </w:t>
      </w:r>
      <w:r>
        <w:rPr>
          <w:rFonts w:ascii="Calibri" w:hAnsi="Calibri"/>
          <w:color w:val="141B2E"/>
          <w:sz w:val="21"/>
        </w:rPr>
        <w:t>Крок 7 — Навчання на сирих LANL + ToN_IoT</w:t>
      </w:r>
    </w:p>
    <w:p>
      <w:pPr>
        <w:spacing w:after="80"/>
        <w:ind w:left="144"/>
      </w:pPr>
      <w:r>
        <w:rPr>
          <w:rFonts w:ascii="Calibri" w:hAnsi="Calibri"/>
          <w:b/>
          <w:color w:val="0E7C86"/>
          <w:sz w:val="21"/>
        </w:rPr>
        <w:t xml:space="preserve">11.  </w:t>
      </w:r>
      <w:r>
        <w:rPr>
          <w:rFonts w:ascii="Calibri" w:hAnsi="Calibri"/>
          <w:color w:val="141B2E"/>
          <w:sz w:val="21"/>
        </w:rPr>
        <w:t>Крок 8 — Згенеровані артефакти: готова до розгортання мережа</w:t>
      </w:r>
    </w:p>
    <w:p>
      <w:pPr>
        <w:spacing w:after="80"/>
        <w:ind w:left="144"/>
      </w:pPr>
      <w:r>
        <w:rPr>
          <w:rFonts w:ascii="Calibri" w:hAnsi="Calibri"/>
          <w:b/>
          <w:color w:val="0E7C86"/>
          <w:sz w:val="21"/>
        </w:rPr>
        <w:t xml:space="preserve">12.  </w:t>
      </w:r>
      <w:r>
        <w:rPr>
          <w:rFonts w:ascii="Calibri" w:hAnsi="Calibri"/>
          <w:color w:val="141B2E"/>
          <w:sz w:val="21"/>
        </w:rPr>
        <w:t>Крок 9 — Перевірити запуск за контрольними критеріями</w:t>
      </w:r>
    </w:p>
    <w:p>
      <w:pPr>
        <w:spacing w:after="80"/>
        <w:ind w:left="144"/>
      </w:pPr>
      <w:r>
        <w:rPr>
          <w:rFonts w:ascii="Calibri" w:hAnsi="Calibri"/>
          <w:b/>
          <w:color w:val="0E7C86"/>
          <w:sz w:val="21"/>
        </w:rPr>
        <w:t xml:space="preserve">13.  </w:t>
      </w:r>
      <w:r>
        <w:rPr>
          <w:rFonts w:ascii="Calibri" w:hAnsi="Calibri"/>
          <w:color w:val="141B2E"/>
          <w:sz w:val="21"/>
        </w:rPr>
        <w:t>Усунення несправностей</w:t>
      </w:r>
    </w:p>
    <w:p>
      <w:pPr>
        <w:spacing w:after="80"/>
        <w:ind w:left="144"/>
      </w:pPr>
      <w:r>
        <w:rPr>
          <w:rFonts w:ascii="Calibri" w:hAnsi="Calibri"/>
          <w:b/>
          <w:color w:val="0E7C86"/>
          <w:sz w:val="21"/>
        </w:rPr>
        <w:t xml:space="preserve">14.  </w:t>
      </w:r>
      <w:r>
        <w:rPr>
          <w:rFonts w:ascii="Calibri" w:hAnsi="Calibri"/>
          <w:color w:val="141B2E"/>
          <w:sz w:val="21"/>
        </w:rPr>
        <w:t>Додаток — шпаргалка навчання</w:t>
      </w:r>
    </w:p>
    <w:p>
      <w:r>
        <w:br w:type="page"/>
      </w:r>
    </w:p>
    <w:p>
      <w:pPr>
        <w:keepNext/>
        <w:spacing w:before="320" w:after="40"/>
        <w:pBdr>
          <w:bottom w:val="single" w:sz="10" w:space="4" w:color="0E7C86"/>
        </w:pBdr>
      </w:pPr>
      <w:r>
        <w:rPr>
          <w:rFonts w:ascii="Calibri" w:hAnsi="Calibri"/>
          <w:b/>
          <w:color w:val="0E7C86"/>
          <w:sz w:val="34"/>
        </w:rPr>
        <w:t xml:space="preserve">1  </w:t>
      </w:r>
      <w:r>
        <w:rPr>
          <w:rFonts w:ascii="Calibri" w:hAnsi="Calibri"/>
          <w:b/>
          <w:color w:val="102A54"/>
          <w:sz w:val="34"/>
        </w:rPr>
        <w:t>Чого ви досягнете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 xml:space="preserve">До кінця цього посібника ви матимете: зібрану платформу Jneopallium; робоче демо кібербезпеки, що видає рекомендаційний JSONL; свіжонавчену модель часової кореляції загроз; і — ключовий результат — </w:t>
      </w:r>
      <w:r>
        <w:rPr>
          <w:rFonts w:ascii="Calibri" w:hAnsi="Calibri"/>
          <w:b/>
          <w:i w:val="0"/>
          <w:color w:val="141B2E"/>
          <w:sz w:val="21"/>
        </w:rPr>
        <w:t>повну, готову до розгортання мережу JNeopallium</w:t>
      </w:r>
      <w:r>
        <w:rPr>
          <w:rFonts w:ascii="Calibri" w:hAnsi="Calibri"/>
          <w:i w:val="0"/>
          <w:color w:val="141B2E"/>
          <w:sz w:val="21"/>
        </w:rPr>
        <w:t xml:space="preserve"> (файли конфігурації рівнів і нейронів зі справжніми класами часу виконання, вбудованими навченими вагами та фіксованим запобіжником), яку напряму завантажує супровідний </w:t>
      </w:r>
      <w:r>
        <w:rPr>
          <w:rFonts w:ascii="Calibri" w:hAnsi="Calibri"/>
          <w:b/>
          <w:i w:val="0"/>
          <w:color w:val="141B2E"/>
          <w:sz w:val="21"/>
        </w:rPr>
        <w:t>Посібник з розгортання</w:t>
      </w:r>
      <w:r>
        <w:rPr>
          <w:rFonts w:ascii="Calibri" w:hAnsi="Calibri"/>
          <w:i w:val="0"/>
          <w:color w:val="141B2E"/>
          <w:sz w:val="21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FBF1E0"/>
          <w:left w:val="single" w:sz="4" w:space="0" w:color="FBF1E0"/>
          <w:bottom w:val="single" w:sz="4" w:space="0" w:color="FBF1E0"/>
          <w:right w:val="single" w:sz="4" w:space="0" w:color="FBF1E0"/>
          <w:insideH w:val="single" w:sz="4" w:space="0" w:color="FBF1E0"/>
          <w:insideV w:val="single" w:sz="4" w:space="0" w:color="FBF1E0"/>
        </w:tblBorders>
      </w:tblPr>
      <w:tblGrid>
        <w:gridCol w:w="9173"/>
      </w:tblGrid>
      <w:tr>
        <w:tc>
          <w:tcPr>
            <w:tcW w:type="dxa" w:w="9173"/>
            <w:shd w:val="clear" w:color="auto" w:fill="FBF1E0"/>
            <w:tcMar>
              <w:top w:w="120" w:type="dxa"/>
              <w:bottom w:w="120" w:type="dxa"/>
              <w:start w:w="160" w:type="dxa"/>
              <w:end w:w="160" w:type="dxa"/>
            </w:tcMar>
            <w:tcBorders>
              <w:left w:val="single" w:sz="24" w:space="0" w:color="C88A1A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C88A1A"/>
                <w:sz w:val="21"/>
              </w:rPr>
              <w:t>Стеля безпеки для всього конвеєра</w:t>
            </w:r>
          </w:p>
          <w:p>
            <w:pPr>
              <w:spacing w:after="0"/>
            </w:pPr>
            <w:r>
              <w:rPr>
                <w:rFonts w:ascii="Calibri" w:hAnsi="Calibri"/>
                <w:i w:val="0"/>
                <w:color w:val="141B2E"/>
                <w:sz w:val="20"/>
              </w:rPr>
              <w:t>Усе, що робить навчена модель, працює в режимі ADVISORY. Вона може рекомендувати кандидатів на розслідування чи карантин, але не повинна ізолювати вузли чи блокувати трафік. Тренер кодує це прямо: рівень відповіді позначено ADVISORY, а жорсткий запобіжник — це фіксована конфігурація, ніколи не навчена.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keepNext/>
        <w:spacing w:before="320" w:after="40"/>
        <w:pBdr>
          <w:bottom w:val="single" w:sz="10" w:space="4" w:color="0E7C86"/>
        </w:pBdr>
      </w:pPr>
      <w:r>
        <w:rPr>
          <w:rFonts w:ascii="Calibri" w:hAnsi="Calibri"/>
          <w:b/>
          <w:color w:val="0E7C86"/>
          <w:sz w:val="34"/>
        </w:rPr>
        <w:t xml:space="preserve">2  </w:t>
      </w:r>
      <w:r>
        <w:rPr>
          <w:rFonts w:ascii="Calibri" w:hAnsi="Calibri"/>
          <w:b/>
          <w:color w:val="102A54"/>
          <w:sz w:val="34"/>
        </w:rPr>
        <w:t>Де закінчується навчання і починається розгортання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>Конвеєр має дві чисті половини, і цей посібник охоплює першу: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BE5"/>
          <w:left w:val="single" w:sz="4" w:space="0" w:color="D6DBE5"/>
          <w:bottom w:val="single" w:sz="4" w:space="0" w:color="D6DBE5"/>
          <w:right w:val="single" w:sz="4" w:space="0" w:color="D6DBE5"/>
          <w:insideH w:val="single" w:sz="4" w:space="0" w:color="D6DBE5"/>
          <w:insideV w:val="single" w:sz="4" w:space="0" w:color="D6DBE5"/>
        </w:tblBorders>
      </w:tblPr>
      <w:tblGrid>
        <w:gridCol w:w="3058"/>
        <w:gridCol w:w="3058"/>
        <w:gridCol w:w="3058"/>
      </w:tblGrid>
      <w:tr>
        <w:tc>
          <w:tcPr>
            <w:tcW w:type="dxa" w:w="2880"/>
            <w:shd w:val="clear" w:color="auto" w:fill="0E7C8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Фаза</w:t>
            </w:r>
          </w:p>
        </w:tc>
        <w:tc>
          <w:tcPr>
            <w:tcW w:type="dxa" w:w="4608"/>
            <w:shd w:val="clear" w:color="auto" w:fill="0E7C8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Що відбувається</w:t>
            </w:r>
          </w:p>
        </w:tc>
        <w:tc>
          <w:tcPr>
            <w:tcW w:type="dxa" w:w="2304"/>
            <w:shd w:val="clear" w:color="auto" w:fill="0E7C8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Документ</w:t>
            </w:r>
          </w:p>
        </w:tc>
      </w:tr>
      <w:tr>
        <w:tc>
          <w:tcPr>
            <w:tcW w:type="dxa" w:w="288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41B2E"/>
                <w:sz w:val="19"/>
              </w:rPr>
              <w:t>Навчання</w:t>
            </w:r>
            <w:r>
              <w:rPr>
                <w:rFonts w:ascii="Calibri" w:hAnsi="Calibri"/>
                <w:i w:val="0"/>
                <w:color w:val="141B2E"/>
                <w:sz w:val="19"/>
              </w:rPr>
              <w:t xml:space="preserve"> (цей посібник)</w:t>
            </w:r>
          </w:p>
        </w:tc>
        <w:tc>
          <w:tcPr>
            <w:tcW w:type="dxa" w:w="460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 xml:space="preserve">Зборка, запуск демо, навчання на даних, </w:t>
            </w:r>
            <w:r>
              <w:rPr>
                <w:rFonts w:ascii="Calibri" w:hAnsi="Calibri"/>
                <w:b/>
                <w:i w:val="0"/>
                <w:color w:val="141B2E"/>
                <w:sz w:val="19"/>
              </w:rPr>
              <w:t>видача мережі</w:t>
            </w:r>
          </w:p>
        </w:tc>
        <w:tc>
          <w:tcPr>
            <w:tcW w:type="dxa" w:w="230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Посібник з навчання</w:t>
            </w:r>
          </w:p>
        </w:tc>
      </w:tr>
      <w:tr>
        <w:tc>
          <w:tcPr>
            <w:tcW w:type="dxa" w:w="288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41B2E"/>
                <w:sz w:val="19"/>
              </w:rPr>
              <w:t>Розгортання</w:t>
            </w:r>
          </w:p>
        </w:tc>
        <w:tc>
          <w:tcPr>
            <w:tcW w:type="dxa" w:w="4608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Завантаження виданої мережі, налаштування джерел подій, запуск worker</w:t>
            </w:r>
          </w:p>
        </w:tc>
        <w:tc>
          <w:tcPr>
            <w:tcW w:type="dxa" w:w="2304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Посібник з розгортання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 xml:space="preserve">Передача між двома половинами — це єдина тека згенерованих артефактів (Крок 8). Навчання її </w:t>
      </w:r>
      <w:r>
        <w:rPr>
          <w:rFonts w:ascii="Calibri" w:hAnsi="Calibri"/>
          <w:b/>
          <w:i w:val="0"/>
          <w:color w:val="141B2E"/>
          <w:sz w:val="21"/>
        </w:rPr>
        <w:t>створює</w:t>
      </w:r>
      <w:r>
        <w:rPr>
          <w:rFonts w:ascii="Calibri" w:hAnsi="Calibri"/>
          <w:i w:val="0"/>
          <w:color w:val="141B2E"/>
          <w:sz w:val="21"/>
        </w:rPr>
        <w:t xml:space="preserve">; розгортання її </w:t>
      </w:r>
      <w:r>
        <w:rPr>
          <w:rFonts w:ascii="Calibri" w:hAnsi="Calibri"/>
          <w:b/>
          <w:i w:val="0"/>
          <w:color w:val="141B2E"/>
          <w:sz w:val="21"/>
        </w:rPr>
        <w:t>споживає</w:t>
      </w:r>
      <w:r>
        <w:rPr>
          <w:rFonts w:ascii="Calibri" w:hAnsi="Calibri"/>
          <w:i w:val="0"/>
          <w:color w:val="141B2E"/>
          <w:sz w:val="21"/>
        </w:rPr>
        <w:t>. Між ними нічого не пишеться вручну — тренер записує готову для JNeopallium конфігурацію рівнів і нейронів, тож ті самі файли, що фіксують ваш запуск навчання, є файлами, з яких завантажується worker.</w:t>
      </w:r>
    </w:p>
    <w:p>
      <w:pPr>
        <w:keepNext/>
        <w:spacing w:before="320" w:after="40"/>
        <w:pBdr>
          <w:bottom w:val="single" w:sz="10" w:space="4" w:color="0E7C86"/>
        </w:pBdr>
      </w:pPr>
      <w:r>
        <w:rPr>
          <w:rFonts w:ascii="Calibri" w:hAnsi="Calibri"/>
          <w:b/>
          <w:color w:val="0E7C86"/>
          <w:sz w:val="34"/>
        </w:rPr>
        <w:t xml:space="preserve">3  </w:t>
      </w:r>
      <w:r>
        <w:rPr>
          <w:rFonts w:ascii="Calibri" w:hAnsi="Calibri"/>
          <w:b/>
          <w:color w:val="102A54"/>
          <w:sz w:val="34"/>
        </w:rPr>
        <w:t>Передумови та системні вимоги</w:t>
      </w:r>
    </w:p>
    <w:p>
      <w:pPr>
        <w:keepNext/>
        <w:spacing w:before="240" w:after="40"/>
      </w:pPr>
      <w:r>
        <w:rPr>
          <w:rFonts w:ascii="Calibri" w:hAnsi="Calibri"/>
          <w:b/>
          <w:color w:val="1C5D99"/>
          <w:sz w:val="26"/>
        </w:rPr>
        <w:t>Інструментарій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BE5"/>
          <w:left w:val="single" w:sz="4" w:space="0" w:color="D6DBE5"/>
          <w:bottom w:val="single" w:sz="4" w:space="0" w:color="D6DBE5"/>
          <w:right w:val="single" w:sz="4" w:space="0" w:color="D6DBE5"/>
          <w:insideH w:val="single" w:sz="4" w:space="0" w:color="D6DBE5"/>
          <w:insideV w:val="single" w:sz="4" w:space="0" w:color="D6DBE5"/>
        </w:tblBorders>
      </w:tblPr>
      <w:tblGrid>
        <w:gridCol w:w="3058"/>
        <w:gridCol w:w="3058"/>
        <w:gridCol w:w="3058"/>
      </w:tblGrid>
      <w:tr>
        <w:tc>
          <w:tcPr>
            <w:tcW w:type="dxa" w:w="2592"/>
            <w:shd w:val="clear" w:color="auto" w:fill="0E7C8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Інструмент</w:t>
            </w:r>
          </w:p>
        </w:tc>
        <w:tc>
          <w:tcPr>
            <w:tcW w:type="dxa" w:w="2880"/>
            <w:shd w:val="clear" w:color="auto" w:fill="0E7C8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Версія</w:t>
            </w:r>
          </w:p>
        </w:tc>
        <w:tc>
          <w:tcPr>
            <w:tcW w:type="dxa" w:w="4320"/>
            <w:shd w:val="clear" w:color="auto" w:fill="0E7C8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Навіщо</w:t>
            </w:r>
          </w:p>
        </w:tc>
      </w:tr>
      <w:tr>
        <w:tc>
          <w:tcPr>
            <w:tcW w:type="dxa" w:w="259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Java JDK</w:t>
            </w:r>
          </w:p>
        </w:tc>
        <w:tc>
          <w:tcPr>
            <w:tcW w:type="dxa" w:w="288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17 або новіша (LTS)</w:t>
            </w:r>
          </w:p>
        </w:tc>
        <w:tc>
          <w:tcPr>
            <w:tcW w:type="dxa" w:w="432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Платформа орієнтована на базовий API Java 17</w:t>
            </w:r>
          </w:p>
        </w:tc>
      </w:tr>
      <w:tr>
        <w:tc>
          <w:tcPr>
            <w:tcW w:type="dxa" w:w="2592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Apache Maven</w:t>
            </w:r>
          </w:p>
        </w:tc>
        <w:tc>
          <w:tcPr>
            <w:tcW w:type="dxa" w:w="288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3.9 або новіша</w:t>
            </w:r>
          </w:p>
        </w:tc>
        <w:tc>
          <w:tcPr>
            <w:tcW w:type="dxa" w:w="432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Багатомодульна збірка master + worker</w:t>
            </w:r>
          </w:p>
        </w:tc>
      </w:tr>
      <w:tr>
        <w:tc>
          <w:tcPr>
            <w:tcW w:type="dxa" w:w="259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Python</w:t>
            </w:r>
          </w:p>
        </w:tc>
        <w:tc>
          <w:tcPr>
            <w:tcW w:type="dxa" w:w="288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3.10+ (тестовано 3.13)</w:t>
            </w:r>
          </w:p>
        </w:tc>
        <w:tc>
          <w:tcPr>
            <w:tcW w:type="dxa" w:w="432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Запускає тренер моделі; сторонні пакети не потрібні</w:t>
            </w:r>
          </w:p>
        </w:tc>
      </w:tr>
      <w:tr>
        <w:tc>
          <w:tcPr>
            <w:tcW w:type="dxa" w:w="2592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Git</w:t>
            </w:r>
          </w:p>
        </w:tc>
        <w:tc>
          <w:tcPr>
            <w:tcW w:type="dxa" w:w="288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будь-яка свіжа</w:t>
            </w:r>
          </w:p>
        </w:tc>
        <w:tc>
          <w:tcPr>
            <w:tcW w:type="dxa" w:w="432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Клонування репозиторію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keepNext/>
        <w:spacing w:before="240" w:after="40"/>
      </w:pPr>
      <w:r>
        <w:rPr>
          <w:rFonts w:ascii="Calibri" w:hAnsi="Calibri"/>
          <w:b/>
          <w:color w:val="1C5D99"/>
          <w:sz w:val="26"/>
        </w:rPr>
        <w:t>Апаратне забезпечення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b/>
          <w:i w:val="0"/>
          <w:color w:val="141B2E"/>
          <w:sz w:val="21"/>
        </w:rPr>
        <w:t>Демо / пілот:</w:t>
      </w:r>
      <w:r>
        <w:rPr>
          <w:rFonts w:ascii="Calibri" w:hAnsi="Calibri"/>
          <w:i w:val="0"/>
          <w:color w:val="141B2E"/>
          <w:sz w:val="21"/>
        </w:rPr>
        <w:t xml:space="preserve"> будь-який сучасний ноутбук. Еталонний тренер зручно працює в одному JVM, а набір даних настільного масштабу займає кілька десятків мегабайтів.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b/>
          <w:i w:val="0"/>
          <w:color w:val="141B2E"/>
          <w:sz w:val="21"/>
        </w:rPr>
        <w:t>Еталонний запуск промислового масштабу:</w:t>
      </w:r>
      <w:r>
        <w:rPr>
          <w:rFonts w:ascii="Calibri" w:hAnsi="Calibri"/>
          <w:i w:val="0"/>
          <w:color w:val="141B2E"/>
          <w:sz w:val="21"/>
        </w:rPr>
        <w:t xml:space="preserve"> тренер фіксує *логічну* ціль корпусу 100 ГіБ без запису 100 ГіБ на диск, тож усе одно працює на робочій станції. Реальне навчання на зовнішніх даних масштабується відповідно до обсягу, який ви подаєте.</w:t>
      </w:r>
    </w:p>
    <w:p>
      <w:pPr>
        <w:keepNext/>
        <w:spacing w:before="240" w:after="40"/>
      </w:pPr>
      <w:r>
        <w:rPr>
          <w:rFonts w:ascii="Calibri" w:hAnsi="Calibri"/>
          <w:b/>
          <w:color w:val="1C5D99"/>
          <w:sz w:val="26"/>
        </w:rPr>
        <w:t>Перевірте інструментарій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173"/>
      </w:tblGrid>
      <w:tr>
        <w:tc>
          <w:tcPr>
            <w:tcW w:type="dxa" w:w="9173"/>
            <w:shd w:val="clear" w:color="auto" w:fill="0E1A2B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java -version       # очікуємо 17 або новіше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mvn -version        # очікуємо 3.9 або новіше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python --version    # очікуємо 3.10 або новіше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git --version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keepNext/>
        <w:spacing w:before="320" w:after="40"/>
        <w:pBdr>
          <w:bottom w:val="single" w:sz="10" w:space="4" w:color="0E7C86"/>
        </w:pBdr>
      </w:pPr>
      <w:r>
        <w:rPr>
          <w:rFonts w:ascii="Calibri" w:hAnsi="Calibri"/>
          <w:b/>
          <w:color w:val="0E7C86"/>
          <w:sz w:val="34"/>
        </w:rPr>
        <w:t xml:space="preserve">4  </w:t>
      </w:r>
      <w:r>
        <w:rPr>
          <w:rFonts w:ascii="Calibri" w:hAnsi="Calibri"/>
          <w:b/>
          <w:color w:val="102A54"/>
          <w:sz w:val="34"/>
        </w:rPr>
        <w:t>Крок 1 — Отримати код і зібрати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 xml:space="preserve">Клонуйте репозиторій і зберіть обидва модулі. Збірка встановлює артефакти </w:t>
      </w:r>
      <w:r>
        <w:rPr>
          <w:rFonts w:ascii="Consolas" w:hAnsi="Consolas"/>
          <w:color w:val="102A54"/>
          <w:sz w:val="20"/>
        </w:rPr>
        <w:t>master</w:t>
      </w:r>
      <w:r>
        <w:rPr>
          <w:rFonts w:ascii="Calibri" w:hAnsi="Calibri"/>
          <w:i w:val="0"/>
          <w:color w:val="141B2E"/>
          <w:sz w:val="21"/>
        </w:rPr>
        <w:t xml:space="preserve"> і </w:t>
      </w:r>
      <w:r>
        <w:rPr>
          <w:rFonts w:ascii="Consolas" w:hAnsi="Consolas"/>
          <w:color w:val="102A54"/>
          <w:sz w:val="20"/>
        </w:rPr>
        <w:t>worker</w:t>
      </w:r>
      <w:r>
        <w:rPr>
          <w:rFonts w:ascii="Calibri" w:hAnsi="Calibri"/>
          <w:i w:val="0"/>
          <w:color w:val="141B2E"/>
          <w:sz w:val="21"/>
        </w:rPr>
        <w:t xml:space="preserve"> у ваш локальний репозиторій Maven.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173"/>
      </w:tblGrid>
      <w:tr>
        <w:tc>
          <w:tcPr>
            <w:tcW w:type="dxa" w:w="9173"/>
            <w:shd w:val="clear" w:color="auto" w:fill="0E1A2B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git clone https://github.com/rakovpublic/jneopallium.git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cd jneopallium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mvn clean install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 xml:space="preserve">Успішна збірка компілює платформу, виконує набір тестів (зокрема </w:t>
      </w:r>
      <w:r>
        <w:rPr>
          <w:rFonts w:ascii="Consolas" w:hAnsi="Consolas"/>
          <w:color w:val="102A54"/>
          <w:sz w:val="20"/>
        </w:rPr>
        <w:t>SecurityModuleTest</w:t>
      </w:r>
      <w:r>
        <w:rPr>
          <w:rFonts w:ascii="Calibri" w:hAnsi="Calibri"/>
          <w:i w:val="0"/>
          <w:color w:val="141B2E"/>
          <w:sz w:val="21"/>
        </w:rPr>
        <w:t xml:space="preserve">) і встановлює </w:t>
      </w:r>
      <w:r>
        <w:rPr>
          <w:rFonts w:ascii="Consolas" w:hAnsi="Consolas"/>
          <w:color w:val="102A54"/>
          <w:sz w:val="20"/>
        </w:rPr>
        <w:t>com.rakovpublic.jneopallium:worker:1.0</w:t>
      </w:r>
      <w:r>
        <w:rPr>
          <w:rFonts w:ascii="Calibri" w:hAnsi="Calibri"/>
          <w:i w:val="0"/>
          <w:color w:val="141B2E"/>
          <w:sz w:val="21"/>
        </w:rPr>
        <w:t>. Worker уже містить справжні класи нейронів, процесорів і сигналів безпеки, на які посилатиметься навчена мережа, тож для навчання не потрібні додаткові написані вручну класи.</w:t>
      </w:r>
    </w:p>
    <w:p>
      <w:pPr>
        <w:keepNext/>
        <w:spacing w:before="320" w:after="40"/>
        <w:pBdr>
          <w:bottom w:val="single" w:sz="10" w:space="4" w:color="0E7C86"/>
        </w:pBdr>
      </w:pPr>
      <w:r>
        <w:rPr>
          <w:rFonts w:ascii="Calibri" w:hAnsi="Calibri"/>
          <w:b/>
          <w:color w:val="0E7C86"/>
          <w:sz w:val="34"/>
        </w:rPr>
        <w:t xml:space="preserve">5  </w:t>
      </w:r>
      <w:r>
        <w:rPr>
          <w:rFonts w:ascii="Calibri" w:hAnsi="Calibri"/>
          <w:b/>
          <w:color w:val="102A54"/>
          <w:sz w:val="34"/>
        </w:rPr>
        <w:t>Крок 2 — Запустити демо кібербезпеки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>Набір повних демо запускається через справжній вхідний шлях worker. Запустіть увесь набір (Демо 06 — це сценарій кібербезпеки):</w:t>
      </w:r>
    </w:p>
    <w:p>
      <w:pPr>
        <w:keepNext/>
        <w:spacing w:before="180" w:after="20"/>
      </w:pPr>
      <w:r>
        <w:rPr>
          <w:rFonts w:ascii="Calibri" w:hAnsi="Calibri"/>
          <w:b/>
          <w:color w:val="0E7C86"/>
          <w:sz w:val="22"/>
        </w:rPr>
        <w:t>Windows (PowerShell)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173"/>
      </w:tblGrid>
      <w:tr>
        <w:tc>
          <w:tcPr>
            <w:tcW w:type="dxa" w:w="9173"/>
            <w:shd w:val="clear" w:color="auto" w:fill="0E1A2B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powershell -ExecutionPolicy Bypass -File scripts/demo-fullrun/run_all_fullrun_demos.ps1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keepNext/>
        <w:spacing w:before="180" w:after="20"/>
      </w:pPr>
      <w:r>
        <w:rPr>
          <w:rFonts w:ascii="Calibri" w:hAnsi="Calibri"/>
          <w:b/>
          <w:color w:val="0E7C86"/>
          <w:sz w:val="22"/>
        </w:rPr>
        <w:t>Linux / macOS (bash)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173"/>
      </w:tblGrid>
      <w:tr>
        <w:tc>
          <w:tcPr>
            <w:tcW w:type="dxa" w:w="9173"/>
            <w:shd w:val="clear" w:color="auto" w:fill="0E1A2B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scripts/demo-fullrun/run_all_fullrun_demos.sh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>Сценарій кібербезпеки корелює контекст автентифікації, процесів, DNS, мережевих потоків, активів, кіберрозвідки та обслуговування для трьох сутностей — впорядкований ланцюг атаки, доброякісний шаблон обслуговування та шаблон повільного витоку — і записує рекомендаційні результати без жодної блокувальної дії.</w:t>
      </w:r>
    </w:p>
    <w:p>
      <w:pPr>
        <w:keepNext/>
        <w:spacing w:before="320" w:after="40"/>
        <w:pBdr>
          <w:bottom w:val="single" w:sz="10" w:space="4" w:color="0E7C86"/>
        </w:pBdr>
      </w:pPr>
      <w:r>
        <w:rPr>
          <w:rFonts w:ascii="Calibri" w:hAnsi="Calibri"/>
          <w:b/>
          <w:color w:val="0E7C86"/>
          <w:sz w:val="34"/>
        </w:rPr>
        <w:t xml:space="preserve">6  </w:t>
      </w:r>
      <w:r>
        <w:rPr>
          <w:rFonts w:ascii="Calibri" w:hAnsi="Calibri"/>
          <w:b/>
          <w:color w:val="102A54"/>
          <w:sz w:val="34"/>
        </w:rPr>
        <w:t>Крок 3 — Зрозуміти згенеровані результати демо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 xml:space="preserve">Типові докази повного запуску записуються в </w:t>
      </w:r>
      <w:r>
        <w:rPr>
          <w:rFonts w:ascii="Consolas" w:hAnsi="Consolas"/>
          <w:color w:val="102A54"/>
          <w:sz w:val="20"/>
        </w:rPr>
        <w:t>target/</w:t>
      </w:r>
      <w:r>
        <w:rPr>
          <w:rFonts w:ascii="Calibri" w:hAnsi="Calibri"/>
          <w:i w:val="0"/>
          <w:color w:val="141B2E"/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173"/>
      </w:tblGrid>
      <w:tr>
        <w:tc>
          <w:tcPr>
            <w:tcW w:type="dxa" w:w="9173"/>
            <w:shd w:val="clear" w:color="auto" w:fill="0E1A2B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target/jneopallium-fullrun-demos/summary.json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target/jneopallium-fullrun-demos/demo-06-cybersecurity-kafka-triage/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>Вихід Демо 06 — це рекомендаційний JSONL. Кожен рядок несе апостеріорну ймовірність, вплив, впевненість послідовності, запобіжник кіберрозвідки, запобіжник обслуговування та стан заморожування базової лінії. Очікувана детермінована поведінка така: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BE5"/>
          <w:left w:val="single" w:sz="4" w:space="0" w:color="D6DBE5"/>
          <w:bottom w:val="single" w:sz="4" w:space="0" w:color="D6DBE5"/>
          <w:right w:val="single" w:sz="4" w:space="0" w:color="D6DBE5"/>
          <w:insideH w:val="single" w:sz="4" w:space="0" w:color="D6DBE5"/>
          <w:insideV w:val="single" w:sz="4" w:space="0" w:color="D6DBE5"/>
        </w:tblBorders>
      </w:tblPr>
      <w:tblGrid>
        <w:gridCol w:w="4586"/>
        <w:gridCol w:w="4586"/>
      </w:tblGrid>
      <w:tr>
        <w:tc>
          <w:tcPr>
            <w:tcW w:type="dxa" w:w="3456"/>
            <w:shd w:val="clear" w:color="auto" w:fill="0E7C8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Потік</w:t>
            </w:r>
          </w:p>
        </w:tc>
        <w:tc>
          <w:tcPr>
            <w:tcW w:type="dxa" w:w="6336"/>
            <w:shd w:val="clear" w:color="auto" w:fill="0E7C8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Очікуваний вердикт</w:t>
            </w:r>
          </w:p>
        </w:tc>
      </w:tr>
      <w:tr>
        <w:tc>
          <w:tcPr>
            <w:tcW w:type="dxa" w:w="345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Впорядкований ланцюг атаки</w:t>
            </w:r>
          </w:p>
        </w:tc>
        <w:tc>
          <w:tcPr>
            <w:tcW w:type="dxa" w:w="633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TEMPORAL_THREAT_ADVISORY</w:t>
            </w:r>
            <w:r>
              <w:rPr>
                <w:rFonts w:ascii="Calibri" w:hAnsi="Calibri"/>
                <w:i w:val="0"/>
                <w:color w:val="141B2E"/>
                <w:sz w:val="19"/>
              </w:rPr>
              <w:t xml:space="preserve"> (базова лінія заморожена під час атаки)</w:t>
            </w:r>
          </w:p>
        </w:tc>
      </w:tr>
      <w:tr>
        <w:tc>
          <w:tcPr>
            <w:tcW w:type="dxa" w:w="3456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Активність у вікні обслуговування</w:t>
            </w:r>
          </w:p>
        </w:tc>
        <w:tc>
          <w:tcPr>
            <w:tcW w:type="dxa" w:w="6336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CONTEXT_SUPPRESSED_OBSERVATION</w:t>
            </w:r>
            <w:r>
              <w:rPr>
                <w:rFonts w:ascii="Calibri" w:hAnsi="Calibri"/>
                <w:i w:val="0"/>
                <w:color w:val="141B2E"/>
                <w:sz w:val="19"/>
              </w:rPr>
              <w:t xml:space="preserve"> (нижча оцінка, але в аудиті)</w:t>
            </w:r>
          </w:p>
        </w:tc>
      </w:tr>
      <w:tr>
        <w:tc>
          <w:tcPr>
            <w:tcW w:type="dxa" w:w="345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Повільний вихідний трафік</w:t>
            </w:r>
          </w:p>
        </w:tc>
        <w:tc>
          <w:tcPr>
            <w:tcW w:type="dxa" w:w="633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LOW_AND_SLOW_CORRELATION</w:t>
            </w:r>
          </w:p>
        </w:tc>
      </w:tr>
      <w:tr>
        <w:tc>
          <w:tcPr>
            <w:tcW w:type="dxa" w:w="3456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Будь-який потік</w:t>
            </w:r>
          </w:p>
        </w:tc>
        <w:tc>
          <w:tcPr>
            <w:tcW w:type="dxa" w:w="6336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Жодного активного блокувального результату не видається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keepNext/>
        <w:spacing w:before="320" w:after="40"/>
        <w:pBdr>
          <w:bottom w:val="single" w:sz="10" w:space="4" w:color="0E7C86"/>
        </w:pBdr>
      </w:pPr>
      <w:r>
        <w:rPr>
          <w:rFonts w:ascii="Calibri" w:hAnsi="Calibri"/>
          <w:b/>
          <w:color w:val="0E7C86"/>
          <w:sz w:val="34"/>
        </w:rPr>
        <w:t xml:space="preserve">7  </w:t>
      </w:r>
      <w:r>
        <w:rPr>
          <w:rFonts w:ascii="Calibri" w:hAnsi="Calibri"/>
          <w:b/>
          <w:color w:val="102A54"/>
          <w:sz w:val="34"/>
        </w:rPr>
        <w:t>Крок 4 — Навчити еталонну модель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>Тренер не потребує сторонніх пакетів Python. Найпростіший запуск використовує вбудований детермінований багатоджерельний еталонний корпус: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173"/>
      </w:tblGrid>
      <w:tr>
        <w:tc>
          <w:tcPr>
            <w:tcW w:type="dxa" w:w="9173"/>
            <w:shd w:val="clear" w:color="auto" w:fill="0E1A2B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python scripts/demo-cybersecurity-training/train_temporal_model.py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 xml:space="preserve">Він видає повний набір артефактів у ресурси worker (повний перелік і призначення кожного файлу — у Кроці 8). Після завершення тренер друкує зведення JSON: вибраний поріг рішення, тестовий F1 на відкладеній вибірці й оцінений розмір корпусу. Запуск завершується помилкою (ненульовий код), якщо тестовий F1 нижчий за поріг </w:t>
      </w:r>
      <w:r>
        <w:rPr>
          <w:rFonts w:ascii="Consolas" w:hAnsi="Consolas"/>
          <w:color w:val="102A54"/>
          <w:sz w:val="20"/>
        </w:rPr>
        <w:t>--min-test-f1</w:t>
      </w:r>
      <w:r>
        <w:rPr>
          <w:rFonts w:ascii="Calibri" w:hAnsi="Calibri"/>
          <w:i w:val="0"/>
          <w:color w:val="141B2E"/>
          <w:sz w:val="21"/>
        </w:rPr>
        <w:t xml:space="preserve"> (за замовчуванням 0.85), тож зламаний конвеєр не може тихо відвантажити слабку модель.</w:t>
      </w:r>
    </w:p>
    <w:p>
      <w:pPr>
        <w:keepNext/>
        <w:spacing w:before="320" w:after="40"/>
        <w:pBdr>
          <w:bottom w:val="single" w:sz="10" w:space="4" w:color="0E7C86"/>
        </w:pBdr>
      </w:pPr>
      <w:r>
        <w:rPr>
          <w:rFonts w:ascii="Calibri" w:hAnsi="Calibri"/>
          <w:b/>
          <w:color w:val="0E7C86"/>
          <w:sz w:val="34"/>
        </w:rPr>
        <w:t xml:space="preserve">8  </w:t>
      </w:r>
      <w:r>
        <w:rPr>
          <w:rFonts w:ascii="Calibri" w:hAnsi="Calibri"/>
          <w:b/>
          <w:color w:val="102A54"/>
          <w:sz w:val="34"/>
        </w:rPr>
        <w:t>Крок 5 — Навчання у промисловому масштабі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>Цей запуск фіксує *логічну* ціль корпусу 100 ГіБ, детерміновано реплікуючи еталонні кампанії, водночас тримаючи припасовану вибірку обмеженою, тож усе одно завершується на робочій станції. Він вправляє метадані масштабування та запобіжники.</w:t>
      </w:r>
    </w:p>
    <w:p>
      <w:pPr>
        <w:keepNext/>
        <w:spacing w:before="180" w:after="20"/>
      </w:pPr>
      <w:r>
        <w:rPr>
          <w:rFonts w:ascii="Calibri" w:hAnsi="Calibri"/>
          <w:b/>
          <w:color w:val="0E7C86"/>
          <w:sz w:val="22"/>
        </w:rPr>
        <w:t>Windows (PowerShell)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173"/>
      </w:tblGrid>
      <w:tr>
        <w:tc>
          <w:tcPr>
            <w:tcW w:type="dxa" w:w="9173"/>
            <w:shd w:val="clear" w:color="auto" w:fill="0E1A2B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python scripts\demo-cybersecurity-training\train_temporal_model.py `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--reference-multiplier 1000 `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--target-corpus-bytes 100gb `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--max-corpus-bytes 100gb `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--max-train-windows-per-epoch 4096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keepNext/>
        <w:spacing w:before="180" w:after="20"/>
      </w:pPr>
      <w:r>
        <w:rPr>
          <w:rFonts w:ascii="Calibri" w:hAnsi="Calibri"/>
          <w:b/>
          <w:color w:val="0E7C86"/>
          <w:sz w:val="22"/>
        </w:rPr>
        <w:t>Linux / macOS (bash)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173"/>
      </w:tblGrid>
      <w:tr>
        <w:tc>
          <w:tcPr>
            <w:tcW w:type="dxa" w:w="9173"/>
            <w:shd w:val="clear" w:color="auto" w:fill="0E1A2B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python scripts/demo-cybersecurity-training/train_temporal_model.py \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--reference-multiplier 1000 \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--target-corpus-bytes 100gb \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--max-corpus-bytes 100gb \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--max-train-windows-per-epoch 4096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AF1F9"/>
          <w:left w:val="single" w:sz="4" w:space="0" w:color="EAF1F9"/>
          <w:bottom w:val="single" w:sz="4" w:space="0" w:color="EAF1F9"/>
          <w:right w:val="single" w:sz="4" w:space="0" w:color="EAF1F9"/>
          <w:insideH w:val="single" w:sz="4" w:space="0" w:color="EAF1F9"/>
          <w:insideV w:val="single" w:sz="4" w:space="0" w:color="EAF1F9"/>
        </w:tblBorders>
      </w:tblPr>
      <w:tblGrid>
        <w:gridCol w:w="9173"/>
      </w:tblGrid>
      <w:tr>
        <w:tc>
          <w:tcPr>
            <w:tcW w:type="dxa" w:w="9173"/>
            <w:shd w:val="clear" w:color="auto" w:fill="EAF1F9"/>
            <w:tcMar>
              <w:top w:w="120" w:type="dxa"/>
              <w:bottom w:w="120" w:type="dxa"/>
              <w:start w:w="160" w:type="dxa"/>
              <w:end w:w="160" w:type="dxa"/>
            </w:tcMar>
            <w:tcBorders>
              <w:left w:val="single" w:sz="24" w:space="0" w:color="1C5D99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1C5D99"/>
                <w:sz w:val="21"/>
              </w:rPr>
              <w:t>Що означають прапорці</w:t>
            </w:r>
          </w:p>
          <w:p>
            <w:pPr>
              <w:spacing w:after="0"/>
            </w:pPr>
            <w:r>
              <w:rPr>
                <w:rFonts w:ascii="Consolas" w:hAnsi="Consolas"/>
                <w:color w:val="102A54"/>
                <w:sz w:val="19"/>
              </w:rPr>
              <w:t>--reference-multiplier</w:t>
            </w:r>
            <w:r>
              <w:rPr>
                <w:rFonts w:ascii="Calibri" w:hAnsi="Calibri"/>
                <w:i w:val="0"/>
                <w:color w:val="141B2E"/>
                <w:sz w:val="20"/>
              </w:rPr>
              <w:t xml:space="preserve"> детерміновано розширює припасовану вибірку. </w:t>
            </w:r>
            <w:r>
              <w:rPr>
                <w:rFonts w:ascii="Consolas" w:hAnsi="Consolas"/>
                <w:color w:val="102A54"/>
                <w:sz w:val="19"/>
              </w:rPr>
              <w:t>--target-corpus-bytes</w:t>
            </w:r>
            <w:r>
              <w:rPr>
                <w:rFonts w:ascii="Calibri" w:hAnsi="Calibri"/>
                <w:i w:val="0"/>
                <w:color w:val="141B2E"/>
                <w:sz w:val="20"/>
              </w:rPr>
              <w:t xml:space="preserve"> — це логічна ціль промислового масштабу, записана в артефакти. </w:t>
            </w:r>
            <w:r>
              <w:rPr>
                <w:rFonts w:ascii="Consolas" w:hAnsi="Consolas"/>
                <w:color w:val="102A54"/>
                <w:sz w:val="19"/>
              </w:rPr>
              <w:t>--max-corpus-bytes</w:t>
            </w:r>
            <w:r>
              <w:rPr>
                <w:rFonts w:ascii="Calibri" w:hAnsi="Calibri"/>
                <w:i w:val="0"/>
                <w:color w:val="141B2E"/>
                <w:sz w:val="20"/>
              </w:rPr>
              <w:t xml:space="preserve"> — жорсткий запобіжник: запуск переривається, замість роздувати репозиторій. </w:t>
            </w:r>
            <w:r>
              <w:rPr>
                <w:rFonts w:ascii="Consolas" w:hAnsi="Consolas"/>
                <w:color w:val="102A54"/>
                <w:sz w:val="19"/>
              </w:rPr>
              <w:t>--max-train-windows-per-epoch</w:t>
            </w:r>
            <w:r>
              <w:rPr>
                <w:rFonts w:ascii="Calibri" w:hAnsi="Calibri"/>
                <w:i w:val="0"/>
                <w:color w:val="141B2E"/>
                <w:sz w:val="20"/>
              </w:rPr>
              <w:t xml:space="preserve"> обмежує роботу за епоху для дуже великих розширених корпусів.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keepNext/>
        <w:spacing w:before="320" w:after="40"/>
        <w:pBdr>
          <w:bottom w:val="single" w:sz="10" w:space="4" w:color="0E7C86"/>
        </w:pBdr>
      </w:pPr>
      <w:r>
        <w:rPr>
          <w:rFonts w:ascii="Calibri" w:hAnsi="Calibri"/>
          <w:b/>
          <w:color w:val="0E7C86"/>
          <w:sz w:val="34"/>
        </w:rPr>
        <w:t xml:space="preserve">9  </w:t>
      </w:r>
      <w:r>
        <w:rPr>
          <w:rFonts w:ascii="Calibri" w:hAnsi="Calibri"/>
          <w:b/>
          <w:color w:val="102A54"/>
          <w:sz w:val="34"/>
        </w:rPr>
        <w:t>Крок 6 — Навчання на зовнішніх даних (режим маніфесту)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>Для реальної якості потрібно навчати на зовнішніх канонічних даних. Режим маніфесту зберігає ту саму політику розбиття без витоку, читаючи ваші власні джерела JSONL або CSV.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173"/>
      </w:tblGrid>
      <w:tr>
        <w:tc>
          <w:tcPr>
            <w:tcW w:type="dxa" w:w="9173"/>
            <w:shd w:val="clear" w:color="auto" w:fill="0E1A2B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python scripts\demo-cybersecurity-training\train_temporal_model.py `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--manifest scripts\demo-cybersecurity-training\dataset-manifest-template.json `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--output-dir worker\src\main\resources\model\cybersecurity-temporal `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--max-corpus-bytes 100gb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keepNext/>
        <w:spacing w:before="240" w:after="40"/>
      </w:pPr>
      <w:r>
        <w:rPr>
          <w:rFonts w:ascii="Calibri" w:hAnsi="Calibri"/>
          <w:b/>
          <w:color w:val="1C5D99"/>
          <w:sz w:val="26"/>
        </w:rPr>
        <w:t>Канонічний контракт події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>Кожен рядок навчання має бути канонічним JSONL або CSV з такими полями: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173"/>
      </w:tblGrid>
      <w:tr>
        <w:tc>
          <w:tcPr>
            <w:tcW w:type="dxa" w:w="9173"/>
            <w:shd w:val="clear" w:color="auto" w:fill="0E1A2B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dataset, entity_id, event_tick, source, event_type, technique,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evidence_confidence, threat_intel_confidence, asset_criticality,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maintenance_active, malicious, campaign_id, host_group, attack_type, split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BE5"/>
          <w:left w:val="single" w:sz="4" w:space="0" w:color="D6DBE5"/>
          <w:bottom w:val="single" w:sz="4" w:space="0" w:color="D6DBE5"/>
          <w:right w:val="single" w:sz="4" w:space="0" w:color="D6DBE5"/>
          <w:insideH w:val="single" w:sz="4" w:space="0" w:color="D6DBE5"/>
          <w:insideV w:val="single" w:sz="4" w:space="0" w:color="D6DBE5"/>
        </w:tblBorders>
      </w:tblPr>
      <w:tblGrid>
        <w:gridCol w:w="4586"/>
        <w:gridCol w:w="4586"/>
      </w:tblGrid>
      <w:tr>
        <w:tc>
          <w:tcPr>
            <w:tcW w:type="dxa" w:w="4608"/>
            <w:shd w:val="clear" w:color="auto" w:fill="0E7C8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Правило</w:t>
            </w:r>
          </w:p>
        </w:tc>
        <w:tc>
          <w:tcPr>
            <w:tcW w:type="dxa" w:w="5184"/>
            <w:shd w:val="clear" w:color="auto" w:fill="0E7C8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Чому це важливо</w:t>
            </w:r>
          </w:p>
        </w:tc>
      </w:tr>
      <w:tr>
        <w:tc>
          <w:tcPr>
            <w:tcW w:type="dxa" w:w="460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event_tick</w:t>
            </w:r>
            <w:r>
              <w:rPr>
                <w:rFonts w:ascii="Calibri" w:hAnsi="Calibri"/>
                <w:i w:val="0"/>
                <w:color w:val="141B2E"/>
                <w:sz w:val="19"/>
              </w:rPr>
              <w:t xml:space="preserve"> — час події, а не час прийому</w:t>
            </w:r>
          </w:p>
        </w:tc>
        <w:tc>
          <w:tcPr>
            <w:tcW w:type="dxa" w:w="518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Дає рушію відтворити справжню послідовність атаки</w:t>
            </w:r>
          </w:p>
        </w:tc>
      </w:tr>
      <w:tr>
        <w:tc>
          <w:tcPr>
            <w:tcW w:type="dxa" w:w="4608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campaign_id</w:t>
            </w:r>
            <w:r>
              <w:rPr>
                <w:rFonts w:ascii="Calibri" w:hAnsi="Calibri"/>
                <w:i w:val="0"/>
                <w:color w:val="141B2E"/>
                <w:sz w:val="19"/>
              </w:rPr>
              <w:t xml:space="preserve"> групує один інцидент чи зіставлений доброякісний період</w:t>
            </w:r>
          </w:p>
        </w:tc>
        <w:tc>
          <w:tcPr>
            <w:tcW w:type="dxa" w:w="5184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Тримає пов'язані події разом для розбиття</w:t>
            </w:r>
          </w:p>
        </w:tc>
      </w:tr>
      <w:tr>
        <w:tc>
          <w:tcPr>
            <w:tcW w:type="dxa" w:w="460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split</w:t>
            </w:r>
            <w:r>
              <w:rPr>
                <w:rFonts w:ascii="Calibri" w:hAnsi="Calibri"/>
                <w:i w:val="0"/>
                <w:color w:val="141B2E"/>
                <w:sz w:val="19"/>
              </w:rPr>
              <w:t xml:space="preserve"> — за часом / кампанією / вузлом / типом атаки</w:t>
            </w:r>
          </w:p>
        </w:tc>
        <w:tc>
          <w:tcPr>
            <w:tcW w:type="dxa" w:w="518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Ніколи не рандомізуйте рядки — це просочує дублікати й завищує оцінки</w:t>
            </w:r>
          </w:p>
        </w:tc>
      </w:tr>
      <w:tr>
        <w:tc>
          <w:tcPr>
            <w:tcW w:type="dxa" w:w="4608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maintenance_active</w:t>
            </w:r>
            <w:r>
              <w:rPr>
                <w:rFonts w:ascii="Calibri" w:hAnsi="Calibri"/>
                <w:i w:val="0"/>
                <w:color w:val="141B2E"/>
                <w:sz w:val="19"/>
              </w:rPr>
              <w:t xml:space="preserve"> — м'яка контекстна ознака</w:t>
            </w:r>
          </w:p>
        </w:tc>
        <w:tc>
          <w:tcPr>
            <w:tcW w:type="dxa" w:w="5184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Знижує терміновість, але ніколи не видаляє докази</w:t>
            </w:r>
          </w:p>
        </w:tc>
      </w:tr>
      <w:tr>
        <w:tc>
          <w:tcPr>
            <w:tcW w:type="dxa" w:w="460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malicious</w:t>
            </w:r>
            <w:r>
              <w:rPr>
                <w:rFonts w:ascii="Calibri" w:hAnsi="Calibri"/>
                <w:i w:val="0"/>
                <w:color w:val="141B2E"/>
                <w:sz w:val="19"/>
              </w:rPr>
              <w:t xml:space="preserve"> — істинна мітка лише для навчання</w:t>
            </w:r>
          </w:p>
        </w:tc>
        <w:tc>
          <w:tcPr>
            <w:tcW w:type="dxa" w:w="518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Висновок під час роботи ніколи не повинен від неї залежати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keepNext/>
        <w:spacing w:before="320" w:after="40"/>
        <w:pBdr>
          <w:bottom w:val="single" w:sz="10" w:space="4" w:color="0E7C86"/>
        </w:pBdr>
      </w:pPr>
      <w:r>
        <w:rPr>
          <w:rFonts w:ascii="Calibri" w:hAnsi="Calibri"/>
          <w:b/>
          <w:color w:val="0E7C86"/>
          <w:sz w:val="34"/>
        </w:rPr>
        <w:t xml:space="preserve">10  </w:t>
      </w:r>
      <w:r>
        <w:rPr>
          <w:rFonts w:ascii="Calibri" w:hAnsi="Calibri"/>
          <w:b/>
          <w:color w:val="102A54"/>
          <w:sz w:val="34"/>
        </w:rPr>
        <w:t>Крок 7 — Навчання на сирих LANL + ToN_IoT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>Окремий шаблон приймає сирі публічні набори даних безпосередньо. Завантажте файли й покладіть їх у зовнішні теки: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173"/>
      </w:tblGrid>
      <w:tr>
        <w:tc>
          <w:tcPr>
            <w:tcW w:type="dxa" w:w="9173"/>
            <w:shd w:val="clear" w:color="auto" w:fill="0E1A2B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scripts/demo-cybersecurity-training/external/lanl/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  auth.txt.gz  proc.txt.gz  dns.txt.gz  flows.txt.gz  redteam.txt.gz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scripts/demo-cybersecurity-training/external/toniot/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  ... видобуті теки CSV ToN_IoT ...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i w:val="0"/>
          <w:color w:val="141B2E"/>
          <w:sz w:val="21"/>
        </w:rPr>
        <w:t xml:space="preserve">LANL Comprehensive Multi-Source Cyber-Security Events: </w:t>
      </w:r>
      <w:r>
        <w:rPr>
          <w:rFonts w:ascii="Consolas" w:hAnsi="Consolas"/>
          <w:color w:val="102A54"/>
          <w:sz w:val="20"/>
        </w:rPr>
        <w:t>https://csr.lanl.gov/data/cyber1/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i w:val="0"/>
          <w:color w:val="141B2E"/>
          <w:sz w:val="21"/>
        </w:rPr>
        <w:t xml:space="preserve">Набори даних ToN_IoT: </w:t>
      </w:r>
      <w:r>
        <w:rPr>
          <w:rFonts w:ascii="Consolas" w:hAnsi="Consolas"/>
          <w:color w:val="102A54"/>
          <w:sz w:val="20"/>
        </w:rPr>
        <w:t>https://research.unsw.edu.au/projects/toniot-datasets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>Потім запустіть шаблон LANL + ToN_IoT (потокова обробка стиснених файлів замість завантаження в пам'ять):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173"/>
      </w:tblGrid>
      <w:tr>
        <w:tc>
          <w:tcPr>
            <w:tcW w:type="dxa" w:w="9173"/>
            <w:shd w:val="clear" w:color="auto" w:fill="0E1A2B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python scripts\demo-cybersecurity-training\train_temporal_model.py `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--manifest scripts\demo-cybersecurity-training\dataset-manifest-lanl-toniot-template.json `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--output-dir worker\src\main\resources\model\cybersecurity-temporal `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--max-corpus-bytes 100gb `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--max-train-windows-per-epoch 4096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>Шаблон також приймає сирі файли LANL (</w:t>
      </w:r>
      <w:r>
        <w:rPr>
          <w:rFonts w:ascii="Consolas" w:hAnsi="Consolas"/>
          <w:color w:val="102A54"/>
          <w:sz w:val="20"/>
        </w:rPr>
        <w:t>lanl-auth</w:t>
      </w:r>
      <w:r>
        <w:rPr>
          <w:rFonts w:ascii="Calibri" w:hAnsi="Calibri"/>
          <w:i w:val="0"/>
          <w:color w:val="141B2E"/>
          <w:sz w:val="21"/>
        </w:rPr>
        <w:t xml:space="preserve">, </w:t>
      </w:r>
      <w:r>
        <w:rPr>
          <w:rFonts w:ascii="Consolas" w:hAnsi="Consolas"/>
          <w:color w:val="102A54"/>
          <w:sz w:val="20"/>
        </w:rPr>
        <w:t>lanl-proc</w:t>
      </w:r>
      <w:r>
        <w:rPr>
          <w:rFonts w:ascii="Calibri" w:hAnsi="Calibri"/>
          <w:i w:val="0"/>
          <w:color w:val="141B2E"/>
          <w:sz w:val="21"/>
        </w:rPr>
        <w:t xml:space="preserve">, </w:t>
      </w:r>
      <w:r>
        <w:rPr>
          <w:rFonts w:ascii="Consolas" w:hAnsi="Consolas"/>
          <w:color w:val="102A54"/>
          <w:sz w:val="20"/>
        </w:rPr>
        <w:t>lanl-dns</w:t>
      </w:r>
      <w:r>
        <w:rPr>
          <w:rFonts w:ascii="Calibri" w:hAnsi="Calibri"/>
          <w:i w:val="0"/>
          <w:color w:val="141B2E"/>
          <w:sz w:val="21"/>
        </w:rPr>
        <w:t xml:space="preserve">, </w:t>
      </w:r>
      <w:r>
        <w:rPr>
          <w:rFonts w:ascii="Consolas" w:hAnsi="Consolas"/>
          <w:color w:val="102A54"/>
          <w:sz w:val="20"/>
        </w:rPr>
        <w:t>lanl-flow</w:t>
      </w:r>
      <w:r>
        <w:rPr>
          <w:rFonts w:ascii="Calibri" w:hAnsi="Calibri"/>
          <w:i w:val="0"/>
          <w:color w:val="141B2E"/>
          <w:sz w:val="21"/>
        </w:rPr>
        <w:t xml:space="preserve">, </w:t>
      </w:r>
      <w:r>
        <w:rPr>
          <w:rFonts w:ascii="Consolas" w:hAnsi="Consolas"/>
          <w:color w:val="102A54"/>
          <w:sz w:val="20"/>
        </w:rPr>
        <w:t>lanl-redteam</w:t>
      </w:r>
      <w:r>
        <w:rPr>
          <w:rFonts w:ascii="Calibri" w:hAnsi="Calibri"/>
          <w:i w:val="0"/>
          <w:color w:val="141B2E"/>
          <w:sz w:val="21"/>
        </w:rPr>
        <w:t>) і поширені файли CSV ToN_IoT (</w:t>
      </w:r>
      <w:r>
        <w:rPr>
          <w:rFonts w:ascii="Consolas" w:hAnsi="Consolas"/>
          <w:color w:val="102A54"/>
          <w:sz w:val="20"/>
        </w:rPr>
        <w:t>toniot-network</w:t>
      </w:r>
      <w:r>
        <w:rPr>
          <w:rFonts w:ascii="Calibri" w:hAnsi="Calibri"/>
          <w:i w:val="0"/>
          <w:color w:val="141B2E"/>
          <w:sz w:val="21"/>
        </w:rPr>
        <w:t xml:space="preserve">, </w:t>
      </w:r>
      <w:r>
        <w:rPr>
          <w:rFonts w:ascii="Consolas" w:hAnsi="Consolas"/>
          <w:color w:val="102A54"/>
          <w:sz w:val="20"/>
        </w:rPr>
        <w:t>toniot-windows</w:t>
      </w:r>
      <w:r>
        <w:rPr>
          <w:rFonts w:ascii="Calibri" w:hAnsi="Calibri"/>
          <w:i w:val="0"/>
          <w:color w:val="141B2E"/>
          <w:sz w:val="21"/>
        </w:rPr>
        <w:t xml:space="preserve">, </w:t>
      </w:r>
      <w:r>
        <w:rPr>
          <w:rFonts w:ascii="Consolas" w:hAnsi="Consolas"/>
          <w:color w:val="102A54"/>
          <w:sz w:val="20"/>
        </w:rPr>
        <w:t>toniot-linux</w:t>
      </w:r>
      <w:r>
        <w:rPr>
          <w:rFonts w:ascii="Calibri" w:hAnsi="Calibri"/>
          <w:i w:val="0"/>
          <w:color w:val="141B2E"/>
          <w:sz w:val="21"/>
        </w:rPr>
        <w:t xml:space="preserve">). Налаштуйте </w:t>
      </w:r>
      <w:r>
        <w:rPr>
          <w:rFonts w:ascii="Consolas" w:hAnsi="Consolas"/>
          <w:color w:val="102A54"/>
          <w:sz w:val="20"/>
        </w:rPr>
        <w:t>maxRows</w:t>
      </w:r>
      <w:r>
        <w:rPr>
          <w:rFonts w:ascii="Calibri" w:hAnsi="Calibri"/>
          <w:i w:val="0"/>
          <w:color w:val="141B2E"/>
          <w:sz w:val="21"/>
        </w:rPr>
        <w:t xml:space="preserve">, </w:t>
      </w:r>
      <w:r>
        <w:rPr>
          <w:rFonts w:ascii="Consolas" w:hAnsi="Consolas"/>
          <w:color w:val="102A54"/>
          <w:sz w:val="20"/>
        </w:rPr>
        <w:t>startTick</w:t>
      </w:r>
      <w:r>
        <w:rPr>
          <w:rFonts w:ascii="Calibri" w:hAnsi="Calibri"/>
          <w:i w:val="0"/>
          <w:color w:val="141B2E"/>
          <w:sz w:val="21"/>
        </w:rPr>
        <w:t xml:space="preserve">, </w:t>
      </w:r>
      <w:r>
        <w:rPr>
          <w:rFonts w:ascii="Consolas" w:hAnsi="Consolas"/>
          <w:color w:val="102A54"/>
          <w:sz w:val="20"/>
        </w:rPr>
        <w:t>endTick</w:t>
      </w:r>
      <w:r>
        <w:rPr>
          <w:rFonts w:ascii="Calibri" w:hAnsi="Calibri"/>
          <w:i w:val="0"/>
          <w:color w:val="141B2E"/>
          <w:sz w:val="21"/>
        </w:rPr>
        <w:t xml:space="preserve"> і </w:t>
      </w:r>
      <w:r>
        <w:rPr>
          <w:rFonts w:ascii="Consolas" w:hAnsi="Consolas"/>
          <w:color w:val="102A54"/>
          <w:sz w:val="20"/>
        </w:rPr>
        <w:t>sampleModulo</w:t>
      </w:r>
      <w:r>
        <w:rPr>
          <w:rFonts w:ascii="Calibri" w:hAnsi="Calibri"/>
          <w:i w:val="0"/>
          <w:color w:val="141B2E"/>
          <w:sz w:val="21"/>
        </w:rPr>
        <w:t xml:space="preserve"> у маніфесті перед навчанням на великих витягах. Тримайте ліцензії наборів даних та інструкції зі завантаження поза згенерованими артефактами.</w:t>
      </w:r>
    </w:p>
    <w:p>
      <w:pPr>
        <w:keepNext/>
        <w:spacing w:before="320" w:after="40"/>
        <w:pBdr>
          <w:bottom w:val="single" w:sz="10" w:space="4" w:color="0E7C86"/>
        </w:pBdr>
      </w:pPr>
      <w:r>
        <w:rPr>
          <w:rFonts w:ascii="Calibri" w:hAnsi="Calibri"/>
          <w:b/>
          <w:color w:val="0E7C86"/>
          <w:sz w:val="34"/>
        </w:rPr>
        <w:t xml:space="preserve">11  </w:t>
      </w:r>
      <w:r>
        <w:rPr>
          <w:rFonts w:ascii="Calibri" w:hAnsi="Calibri"/>
          <w:b/>
          <w:color w:val="102A54"/>
          <w:sz w:val="34"/>
        </w:rPr>
        <w:t>Крок 8 — Згенеровані артефакти: готова до розгортання мережа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>Це передача конвеєра. Кожен запуск навчання записує теку конфігурації у стилі JNeopallium, готову до розгортання як є, — не просто абстрактну модель, а власне мережу рівнів і нейронів, з якої завантажується worker. Створюється десять файлів: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BE5"/>
          <w:left w:val="single" w:sz="4" w:space="0" w:color="D6DBE5"/>
          <w:bottom w:val="single" w:sz="4" w:space="0" w:color="D6DBE5"/>
          <w:right w:val="single" w:sz="4" w:space="0" w:color="D6DBE5"/>
          <w:insideH w:val="single" w:sz="4" w:space="0" w:color="D6DBE5"/>
          <w:insideV w:val="single" w:sz="4" w:space="0" w:color="D6DBE5"/>
        </w:tblBorders>
      </w:tblPr>
      <w:tblGrid>
        <w:gridCol w:w="4586"/>
        <w:gridCol w:w="4586"/>
      </w:tblGrid>
      <w:tr>
        <w:tc>
          <w:tcPr>
            <w:tcW w:type="dxa" w:w="4320"/>
            <w:shd w:val="clear" w:color="auto" w:fill="0E7C8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Артефакт</w:t>
            </w:r>
          </w:p>
        </w:tc>
        <w:tc>
          <w:tcPr>
            <w:tcW w:type="dxa" w:w="5472"/>
            <w:shd w:val="clear" w:color="auto" w:fill="0E7C8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Що це</w:t>
            </w:r>
          </w:p>
        </w:tc>
      </w:tr>
      <w:tr>
        <w:tc>
          <w:tcPr>
            <w:tcW w:type="dxa" w:w="432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trained-temporal-threat-model.json</w:t>
            </w:r>
          </w:p>
        </w:tc>
        <w:tc>
          <w:tcPr>
            <w:tcW w:type="dxa" w:w="547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Компактна навчена модель: ознаки, скейлер, ваги, зсув, поріг, метрики</w:t>
            </w:r>
          </w:p>
        </w:tc>
      </w:tr>
      <w:tr>
        <w:tc>
          <w:tcPr>
            <w:tcW w:type="dxa" w:w="432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model-descriptor.json</w:t>
            </w:r>
          </w:p>
        </w:tc>
        <w:tc>
          <w:tcPr>
            <w:tcW w:type="dxa" w:w="5472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Опис усієї мережі: 5 рівнів, 8 нейронів, мапа частот, класи джерел</w:t>
            </w:r>
          </w:p>
        </w:tc>
      </w:tr>
      <w:tr>
        <w:tc>
          <w:tcPr>
            <w:tcW w:type="dxa" w:w="432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layer-0.json</w:t>
            </w:r>
          </w:p>
        </w:tc>
        <w:tc>
          <w:tcPr>
            <w:tcW w:type="dxa" w:w="547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Межа багатоджерельного входу подій безпеки (канонічні входи на родину джерел)</w:t>
            </w:r>
          </w:p>
        </w:tc>
      </w:tr>
      <w:tr>
        <w:tc>
          <w:tcPr>
            <w:tcW w:type="dxa" w:w="432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layer-1-fast-evidence.json</w:t>
            </w:r>
          </w:p>
        </w:tc>
        <w:tc>
          <w:tcPr>
            <w:tcW w:type="dxa" w:w="5472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Швидкі рецептори доказів — 4 нейрони (потік, сигнатура, процес, базова лінія)</w:t>
            </w:r>
          </w:p>
        </w:tc>
      </w:tr>
      <w:tr>
        <w:tc>
          <w:tcPr>
            <w:tcW w:type="dxa" w:w="432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layer-2-temporal-correlation.json</w:t>
            </w:r>
          </w:p>
        </w:tc>
        <w:tc>
          <w:tcPr>
            <w:tcW w:type="dxa" w:w="547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Навчений часовий корелятор — вбудовує ваги, гейти, дендрити</w:t>
            </w:r>
          </w:p>
        </w:tc>
      </w:tr>
      <w:tr>
        <w:tc>
          <w:tcPr>
            <w:tcW w:type="dxa" w:w="432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layer-3-response-planning.json</w:t>
            </w:r>
          </w:p>
        </w:tc>
        <w:tc>
          <w:tcPr>
            <w:tcW w:type="dxa" w:w="5472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Планування рекомендаційної відповіді + фіксований жорсткий запобіжник</w:t>
            </w:r>
          </w:p>
        </w:tc>
      </w:tr>
      <w:tr>
        <w:tc>
          <w:tcPr>
            <w:tcW w:type="dxa" w:w="432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result-layer.json</w:t>
            </w:r>
          </w:p>
        </w:tc>
        <w:tc>
          <w:tcPr>
            <w:tcW w:type="dxa" w:w="547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Рівень виводу рекомендацій безпеки</w:t>
            </w:r>
          </w:p>
        </w:tc>
      </w:tr>
      <w:tr>
        <w:tc>
          <w:tcPr>
            <w:tcW w:type="dxa" w:w="432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trained-model-update.json</w:t>
            </w:r>
          </w:p>
        </w:tc>
        <w:tc>
          <w:tcPr>
            <w:tcW w:type="dxa" w:w="5472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Останній знімок навчання: статус, контрольна сума, ваги, зведення</w:t>
            </w:r>
          </w:p>
        </w:tc>
      </w:tr>
      <w:tr>
        <w:tc>
          <w:tcPr>
            <w:tcW w:type="dxa" w:w="432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quantitative-summary.json</w:t>
            </w:r>
          </w:p>
        </w:tc>
        <w:tc>
          <w:tcPr>
            <w:tcW w:type="dxa" w:w="547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Масштаб, метрики та найвагоміші позитивні / негативні ваги ознак</w:t>
            </w:r>
          </w:p>
        </w:tc>
      </w:tr>
      <w:tr>
        <w:tc>
          <w:tcPr>
            <w:tcW w:type="dxa" w:w="432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source-mapping.json</w:t>
            </w:r>
          </w:p>
        </w:tc>
        <w:tc>
          <w:tcPr>
            <w:tcW w:type="dxa" w:w="5472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На які типізовані сигнали відображається кожне джерело даних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keepNext/>
        <w:spacing w:before="240" w:after="40"/>
      </w:pPr>
      <w:r>
        <w:rPr>
          <w:rFonts w:ascii="Calibri" w:hAnsi="Calibri"/>
          <w:b/>
          <w:color w:val="1C5D99"/>
          <w:sz w:val="26"/>
        </w:rPr>
        <w:t>Мережа, яку будує тренер</w:t>
      </w:r>
    </w:p>
    <w:p>
      <w:pPr>
        <w:spacing w:after="120"/>
      </w:pPr>
      <w:r>
        <w:rPr>
          <w:rFonts w:ascii="Consolas" w:hAnsi="Consolas"/>
          <w:color w:val="102A54"/>
          <w:sz w:val="20"/>
        </w:rPr>
        <w:t>model-descriptor.json</w:t>
      </w:r>
      <w:r>
        <w:rPr>
          <w:rFonts w:ascii="Calibri" w:hAnsi="Calibri"/>
          <w:i w:val="0"/>
          <w:color w:val="141B2E"/>
          <w:sz w:val="21"/>
        </w:rPr>
        <w:t xml:space="preserve"> фіксує п'ятирівневу мережу з восьми справжніх нейронів, з 34 навчуваними вагами та одним зсувом — усі посилаються на конкретні класи часу виконання з пакета безпеки worker: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BE5"/>
          <w:left w:val="single" w:sz="4" w:space="0" w:color="D6DBE5"/>
          <w:bottom w:val="single" w:sz="4" w:space="0" w:color="D6DBE5"/>
          <w:right w:val="single" w:sz="4" w:space="0" w:color="D6DBE5"/>
          <w:insideH w:val="single" w:sz="4" w:space="0" w:color="D6DBE5"/>
          <w:insideV w:val="single" w:sz="4" w:space="0" w:color="D6DBE5"/>
        </w:tblBorders>
      </w:tblPr>
      <w:tblGrid>
        <w:gridCol w:w="3058"/>
        <w:gridCol w:w="3058"/>
        <w:gridCol w:w="3058"/>
      </w:tblGrid>
      <w:tr>
        <w:tc>
          <w:tcPr>
            <w:tcW w:type="dxa" w:w="2304"/>
            <w:shd w:val="clear" w:color="auto" w:fill="0E7C8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Рівень</w:t>
            </w:r>
          </w:p>
        </w:tc>
        <w:tc>
          <w:tcPr>
            <w:tcW w:type="dxa" w:w="2880"/>
            <w:shd w:val="clear" w:color="auto" w:fill="0E7C8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Роль</w:t>
            </w:r>
          </w:p>
        </w:tc>
        <w:tc>
          <w:tcPr>
            <w:tcW w:type="dxa" w:w="4608"/>
            <w:shd w:val="clear" w:color="auto" w:fill="0E7C8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Справжні класи нейронів</w:t>
            </w:r>
          </w:p>
        </w:tc>
      </w:tr>
      <w:tr>
        <w:tc>
          <w:tcPr>
            <w:tcW w:type="dxa" w:w="230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0 — Вхід</w:t>
            </w:r>
          </w:p>
        </w:tc>
        <w:tc>
          <w:tcPr>
            <w:tcW w:type="dxa" w:w="288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Межа багатоджерельних подій</w:t>
            </w:r>
          </w:p>
        </w:tc>
        <w:tc>
          <w:tcPr>
            <w:tcW w:type="dxa" w:w="460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(без об'єктів нейронів; лише канонічні входи)</w:t>
            </w:r>
          </w:p>
        </w:tc>
      </w:tr>
      <w:tr>
        <w:tc>
          <w:tcPr>
            <w:tcW w:type="dxa" w:w="2304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1 — Швидкі докази</w:t>
            </w:r>
          </w:p>
        </w:tc>
        <w:tc>
          <w:tcPr>
            <w:tcW w:type="dxa" w:w="288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Дешева миттєва оцінка</w:t>
            </w:r>
          </w:p>
        </w:tc>
        <w:tc>
          <w:tcPr>
            <w:tcW w:type="dxa" w:w="4608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NetworkFlowNeuron</w:t>
            </w:r>
            <w:r>
              <w:rPr>
                <w:rFonts w:ascii="Calibri" w:hAnsi="Calibri"/>
                <w:i w:val="0"/>
                <w:color w:val="141B2E"/>
                <w:sz w:val="19"/>
              </w:rPr>
              <w:t xml:space="preserve">, </w:t>
            </w:r>
            <w:r>
              <w:rPr>
                <w:rFonts w:ascii="Consolas" w:hAnsi="Consolas"/>
                <w:color w:val="102A54"/>
                <w:sz w:val="18"/>
              </w:rPr>
              <w:t>SignaturePatternNeuron</w:t>
            </w:r>
            <w:r>
              <w:rPr>
                <w:rFonts w:ascii="Calibri" w:hAnsi="Calibri"/>
                <w:i w:val="0"/>
                <w:color w:val="141B2E"/>
                <w:sz w:val="19"/>
              </w:rPr>
              <w:t xml:space="preserve">, </w:t>
            </w:r>
            <w:r>
              <w:rPr>
                <w:rFonts w:ascii="Consolas" w:hAnsi="Consolas"/>
                <w:color w:val="102A54"/>
                <w:sz w:val="18"/>
              </w:rPr>
              <w:t>ProcessBehaviourNeuron</w:t>
            </w:r>
            <w:r>
              <w:rPr>
                <w:rFonts w:ascii="Calibri" w:hAnsi="Calibri"/>
                <w:i w:val="0"/>
                <w:color w:val="141B2E"/>
                <w:sz w:val="19"/>
              </w:rPr>
              <w:t xml:space="preserve">, </w:t>
            </w:r>
            <w:r>
              <w:rPr>
                <w:rFonts w:ascii="Consolas" w:hAnsi="Consolas"/>
                <w:color w:val="102A54"/>
                <w:sz w:val="18"/>
              </w:rPr>
              <w:t>EntityBehaviourBaselineNeuron</w:t>
            </w:r>
          </w:p>
        </w:tc>
      </w:tr>
      <w:tr>
        <w:tc>
          <w:tcPr>
            <w:tcW w:type="dxa" w:w="230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2 — Кореляція</w:t>
            </w:r>
          </w:p>
        </w:tc>
        <w:tc>
          <w:tcPr>
            <w:tcW w:type="dxa" w:w="288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Навчена часова кореляція</w:t>
            </w:r>
          </w:p>
        </w:tc>
        <w:tc>
          <w:tcPr>
            <w:tcW w:type="dxa" w:w="460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TemporalThreatCorrelationNeuron</w:t>
            </w:r>
          </w:p>
        </w:tc>
      </w:tr>
      <w:tr>
        <w:tc>
          <w:tcPr>
            <w:tcW w:type="dxa" w:w="2304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3 — Планування + запобіжник</w:t>
            </w:r>
          </w:p>
        </w:tc>
        <w:tc>
          <w:tcPr>
            <w:tcW w:type="dxa" w:w="288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Смуги рекомендацій + запобіжник</w:t>
            </w:r>
          </w:p>
        </w:tc>
        <w:tc>
          <w:tcPr>
            <w:tcW w:type="dxa" w:w="4608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ResponsePlanningNeuron</w:t>
            </w:r>
            <w:r>
              <w:rPr>
                <w:rFonts w:ascii="Calibri" w:hAnsi="Calibri"/>
                <w:i w:val="0"/>
                <w:color w:val="141B2E"/>
                <w:sz w:val="19"/>
              </w:rPr>
              <w:t xml:space="preserve">, </w:t>
            </w:r>
            <w:r>
              <w:rPr>
                <w:rFonts w:ascii="Consolas" w:hAnsi="Consolas"/>
                <w:color w:val="102A54"/>
                <w:sz w:val="18"/>
              </w:rPr>
              <w:t>ResponseGateNeuron</w:t>
            </w:r>
          </w:p>
        </w:tc>
      </w:tr>
      <w:tr>
        <w:tc>
          <w:tcPr>
            <w:tcW w:type="dxa" w:w="230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4 — Результат</w:t>
            </w:r>
          </w:p>
        </w:tc>
        <w:tc>
          <w:tcPr>
            <w:tcW w:type="dxa" w:w="288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Рекомендаційний вивід</w:t>
            </w:r>
          </w:p>
        </w:tc>
        <w:tc>
          <w:tcPr>
            <w:tcW w:type="dxa" w:w="460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ResponsePlanningNeuron</w:t>
            </w:r>
            <w:r>
              <w:rPr>
                <w:rFonts w:ascii="Calibri" w:hAnsi="Calibri"/>
                <w:i w:val="0"/>
                <w:color w:val="141B2E"/>
                <w:sz w:val="19"/>
              </w:rPr>
              <w:t xml:space="preserve"> (результат)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>Рівень кореляції (</w:t>
      </w:r>
      <w:r>
        <w:rPr>
          <w:rFonts w:ascii="Consolas" w:hAnsi="Consolas"/>
          <w:color w:val="102A54"/>
          <w:sz w:val="20"/>
        </w:rPr>
        <w:t>layer-2-temporal-correlation.json</w:t>
      </w:r>
      <w:r>
        <w:rPr>
          <w:rFonts w:ascii="Calibri" w:hAnsi="Calibri"/>
          <w:i w:val="0"/>
          <w:color w:val="141B2E"/>
          <w:sz w:val="21"/>
        </w:rPr>
        <w:t xml:space="preserve">) вбудовує навчені логістичні ваги як іменовані </w:t>
      </w:r>
      <w:r>
        <w:rPr>
          <w:rFonts w:ascii="Calibri" w:hAnsi="Calibri"/>
          <w:b/>
          <w:i w:val="0"/>
          <w:color w:val="141B2E"/>
          <w:sz w:val="21"/>
        </w:rPr>
        <w:t>ваги дендритів</w:t>
      </w:r>
      <w:r>
        <w:rPr>
          <w:rFonts w:ascii="Calibri" w:hAnsi="Calibri"/>
          <w:i w:val="0"/>
          <w:color w:val="141B2E"/>
          <w:sz w:val="21"/>
        </w:rPr>
        <w:t xml:space="preserve">, скейлер стандартизації, поріг рішення (0.2), п'ять часових гейтів послідовності та блок </w:t>
      </w:r>
      <w:r>
        <w:rPr>
          <w:rFonts w:ascii="Consolas" w:hAnsi="Consolas"/>
          <w:color w:val="102A54"/>
          <w:sz w:val="20"/>
        </w:rPr>
        <w:t>baselineAdaptation</w:t>
      </w:r>
      <w:r>
        <w:rPr>
          <w:rFonts w:ascii="Calibri" w:hAnsi="Calibri"/>
          <w:i w:val="0"/>
          <w:color w:val="141B2E"/>
          <w:sz w:val="21"/>
        </w:rPr>
        <w:t xml:space="preserve">, що заморожує навчання, коли апостеріорна сягає </w:t>
      </w:r>
      <w:r>
        <w:rPr>
          <w:rFonts w:ascii="Calibri" w:hAnsi="Calibri"/>
          <w:b/>
          <w:i w:val="0"/>
          <w:color w:val="141B2E"/>
          <w:sz w:val="21"/>
        </w:rPr>
        <w:t>0.3</w:t>
      </w:r>
      <w:r>
        <w:rPr>
          <w:rFonts w:ascii="Calibri" w:hAnsi="Calibri"/>
          <w:i w:val="0"/>
          <w:color w:val="141B2E"/>
          <w:sz w:val="21"/>
        </w:rPr>
        <w:t xml:space="preserve"> або впевненість сигнатури сягає </w:t>
      </w:r>
      <w:r>
        <w:rPr>
          <w:rFonts w:ascii="Calibri" w:hAnsi="Calibri"/>
          <w:b/>
          <w:i w:val="0"/>
          <w:color w:val="141B2E"/>
          <w:sz w:val="21"/>
        </w:rPr>
        <w:t>0.8</w:t>
      </w:r>
      <w:r>
        <w:rPr>
          <w:rFonts w:ascii="Calibri" w:hAnsi="Calibri"/>
          <w:i w:val="0"/>
          <w:color w:val="141B2E"/>
          <w:sz w:val="21"/>
        </w:rPr>
        <w:t xml:space="preserve">, і адаптується лише з довірених доброякісних періодів. Опис також містить </w:t>
      </w:r>
      <w:r>
        <w:rPr>
          <w:rFonts w:ascii="Consolas" w:hAnsi="Consolas"/>
          <w:color w:val="102A54"/>
          <w:sz w:val="20"/>
        </w:rPr>
        <w:t>signalFrequencyMap</w:t>
      </w:r>
      <w:r>
        <w:rPr>
          <w:rFonts w:ascii="Calibri" w:hAnsi="Calibri"/>
          <w:i w:val="0"/>
          <w:color w:val="141B2E"/>
          <w:sz w:val="21"/>
        </w:rPr>
        <w:t>, що дає кожному сигналу його каданс циклу — швидкі рецептори щоцикл, гіпотези й запити карантину кожен другий цикл, звіти про інциденти кожен п'ятий — дизайн типізованих часових масштабів, втілений конкретно.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8F3EC"/>
          <w:left w:val="single" w:sz="4" w:space="0" w:color="E8F3EC"/>
          <w:bottom w:val="single" w:sz="4" w:space="0" w:color="E8F3EC"/>
          <w:right w:val="single" w:sz="4" w:space="0" w:color="E8F3EC"/>
          <w:insideH w:val="single" w:sz="4" w:space="0" w:color="E8F3EC"/>
          <w:insideV w:val="single" w:sz="4" w:space="0" w:color="E8F3EC"/>
        </w:tblBorders>
      </w:tblPr>
      <w:tblGrid>
        <w:gridCol w:w="9173"/>
      </w:tblGrid>
      <w:tr>
        <w:tc>
          <w:tcPr>
            <w:tcW w:type="dxa" w:w="9173"/>
            <w:shd w:val="clear" w:color="auto" w:fill="E8F3EC"/>
            <w:tcMar>
              <w:top w:w="120" w:type="dxa"/>
              <w:bottom w:w="120" w:type="dxa"/>
              <w:start w:w="160" w:type="dxa"/>
              <w:end w:w="160" w:type="dxa"/>
            </w:tcMar>
            <w:tcBorders>
              <w:left w:val="single" w:sz="24" w:space="0" w:color="1F7A3D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7A3D"/>
                <w:sz w:val="21"/>
              </w:rPr>
              <w:t>Чому це важливо</w:t>
            </w:r>
          </w:p>
          <w:p>
            <w:pPr>
              <w:spacing w:after="0"/>
            </w:pPr>
            <w:r>
              <w:rPr>
                <w:rFonts w:ascii="Calibri" w:hAnsi="Calibri"/>
                <w:i w:val="0"/>
                <w:color w:val="141B2E"/>
                <w:sz w:val="20"/>
              </w:rPr>
              <w:t>Оскільки навчання видає справжню, придатну до перевірки, готову до розгортання конфігурацію, між «тим, що ми навчили» і «тим, що ми запускаємо», немає кроку перекладу. Посібник з розгортання просто спрямовує worker на цю теку. Кожна вага, гейт і поріг, які ви бачите у звіті, — це саме те, що виконується в промислі.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keepNext/>
        <w:spacing w:before="320" w:after="40"/>
        <w:pBdr>
          <w:bottom w:val="single" w:sz="10" w:space="4" w:color="0E7C86"/>
        </w:pBdr>
      </w:pPr>
      <w:r>
        <w:rPr>
          <w:rFonts w:ascii="Calibri" w:hAnsi="Calibri"/>
          <w:b/>
          <w:color w:val="0E7C86"/>
          <w:sz w:val="34"/>
        </w:rPr>
        <w:t xml:space="preserve">12  </w:t>
      </w:r>
      <w:r>
        <w:rPr>
          <w:rFonts w:ascii="Calibri" w:hAnsi="Calibri"/>
          <w:b/>
          <w:color w:val="102A54"/>
          <w:sz w:val="34"/>
        </w:rPr>
        <w:t>Крок 9 — Перевірити запуск за контрольними критеріями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>Перш ніж вважати будь-який запуск придатним до розгортання, переконайтеся, що промислові критерії пройдено:</w:t>
      </w:r>
    </w:p>
    <w:p>
      <w:pPr>
        <w:spacing w:after="60" w:line="269" w:lineRule="auto"/>
        <w:ind w:left="720" w:hanging="317"/>
      </w:pPr>
      <w:r>
        <w:rPr>
          <w:rFonts w:ascii="Calibri" w:hAnsi="Calibri"/>
          <w:b/>
          <w:color w:val="0E7C86"/>
          <w:sz w:val="21"/>
        </w:rPr>
        <w:t xml:space="preserve">1.  </w:t>
      </w:r>
      <w:r>
        <w:rPr>
          <w:rFonts w:ascii="Calibri" w:hAnsi="Calibri"/>
          <w:i w:val="0"/>
          <w:color w:val="141B2E"/>
          <w:sz w:val="21"/>
        </w:rPr>
        <w:t xml:space="preserve">Усі очікувані родини джерел присутні в </w:t>
      </w:r>
      <w:r>
        <w:rPr>
          <w:rFonts w:ascii="Consolas" w:hAnsi="Consolas"/>
          <w:color w:val="102A54"/>
          <w:sz w:val="20"/>
        </w:rPr>
        <w:t>source-mapping.json</w:t>
      </w:r>
      <w:r>
        <w:rPr>
          <w:rFonts w:ascii="Calibri" w:hAnsi="Calibri"/>
          <w:i w:val="0"/>
          <w:color w:val="141B2E"/>
          <w:sz w:val="21"/>
        </w:rPr>
        <w:t>.</w:t>
      </w:r>
    </w:p>
    <w:p>
      <w:pPr>
        <w:spacing w:after="60" w:line="269" w:lineRule="auto"/>
        <w:ind w:left="720" w:hanging="317"/>
      </w:pPr>
      <w:r>
        <w:rPr>
          <w:rFonts w:ascii="Calibri" w:hAnsi="Calibri"/>
          <w:b/>
          <w:color w:val="0E7C86"/>
          <w:sz w:val="21"/>
        </w:rPr>
        <w:t xml:space="preserve">2.  </w:t>
      </w:r>
      <w:r>
        <w:rPr>
          <w:rFonts w:ascii="Calibri" w:hAnsi="Calibri"/>
          <w:i w:val="0"/>
          <w:color w:val="141B2E"/>
          <w:sz w:val="21"/>
        </w:rPr>
        <w:t xml:space="preserve">Тестовий F1 не нижчий за поріг </w:t>
      </w:r>
      <w:r>
        <w:rPr>
          <w:rFonts w:ascii="Consolas" w:hAnsi="Consolas"/>
          <w:color w:val="102A54"/>
          <w:sz w:val="20"/>
        </w:rPr>
        <w:t>--min-test-f1</w:t>
      </w:r>
      <w:r>
        <w:rPr>
          <w:rFonts w:ascii="Calibri" w:hAnsi="Calibri"/>
          <w:i w:val="0"/>
          <w:color w:val="141B2E"/>
          <w:sz w:val="21"/>
        </w:rPr>
        <w:t>.</w:t>
      </w:r>
    </w:p>
    <w:p>
      <w:pPr>
        <w:spacing w:after="60" w:line="269" w:lineRule="auto"/>
        <w:ind w:left="720" w:hanging="317"/>
      </w:pPr>
      <w:r>
        <w:rPr>
          <w:rFonts w:ascii="Calibri" w:hAnsi="Calibri"/>
          <w:b/>
          <w:color w:val="0E7C86"/>
          <w:sz w:val="21"/>
        </w:rPr>
        <w:t xml:space="preserve">3.  </w:t>
      </w:r>
      <w:r>
        <w:rPr>
          <w:rFonts w:ascii="Calibri" w:hAnsi="Calibri"/>
          <w:i w:val="0"/>
          <w:color w:val="141B2E"/>
          <w:sz w:val="21"/>
        </w:rPr>
        <w:t>Рівень хибних спрацювань у межах бюджету на вузол і на орендаря.</w:t>
      </w:r>
    </w:p>
    <w:p>
      <w:pPr>
        <w:spacing w:after="60" w:line="269" w:lineRule="auto"/>
        <w:ind w:left="720" w:hanging="317"/>
      </w:pPr>
      <w:r>
        <w:rPr>
          <w:rFonts w:ascii="Calibri" w:hAnsi="Calibri"/>
          <w:b/>
          <w:color w:val="0E7C86"/>
          <w:sz w:val="21"/>
        </w:rPr>
        <w:t xml:space="preserve">4.  </w:t>
      </w:r>
      <w:r>
        <w:rPr>
          <w:rFonts w:ascii="Calibri" w:hAnsi="Calibri"/>
          <w:i w:val="0"/>
          <w:color w:val="141B2E"/>
          <w:sz w:val="21"/>
        </w:rPr>
        <w:t>Кошики калібрування показують монотонне впорядкування ризику (вища оцінка → вищий реальний рівень позитивів).</w:t>
      </w:r>
    </w:p>
    <w:p>
      <w:pPr>
        <w:spacing w:after="60" w:line="269" w:lineRule="auto"/>
        <w:ind w:left="720" w:hanging="317"/>
      </w:pPr>
      <w:r>
        <w:rPr>
          <w:rFonts w:ascii="Calibri" w:hAnsi="Calibri"/>
          <w:b/>
          <w:color w:val="0E7C86"/>
          <w:sz w:val="21"/>
        </w:rPr>
        <w:t xml:space="preserve">5.  </w:t>
      </w:r>
      <w:r>
        <w:rPr>
          <w:rFonts w:ascii="Calibri" w:hAnsi="Calibri"/>
          <w:i w:val="0"/>
          <w:color w:val="141B2E"/>
          <w:sz w:val="21"/>
        </w:rPr>
        <w:t>Середній час до виявлення нижчий за вашу ціль реагування на інциденти.</w:t>
      </w:r>
    </w:p>
    <w:p>
      <w:pPr>
        <w:spacing w:after="60" w:line="269" w:lineRule="auto"/>
        <w:ind w:left="720" w:hanging="317"/>
      </w:pPr>
      <w:r>
        <w:rPr>
          <w:rFonts w:ascii="Calibri" w:hAnsi="Calibri"/>
          <w:b/>
          <w:color w:val="0E7C86"/>
          <w:sz w:val="21"/>
        </w:rPr>
        <w:t xml:space="preserve">6.  </w:t>
      </w:r>
      <w:r>
        <w:rPr>
          <w:rFonts w:ascii="Calibri" w:hAnsi="Calibri"/>
          <w:i w:val="0"/>
          <w:color w:val="141B2E"/>
          <w:sz w:val="21"/>
        </w:rPr>
        <w:t xml:space="preserve">П'ять файлів рівнів і </w:t>
      </w:r>
      <w:r>
        <w:rPr>
          <w:rFonts w:ascii="Consolas" w:hAnsi="Consolas"/>
          <w:color w:val="102A54"/>
          <w:sz w:val="20"/>
        </w:rPr>
        <w:t>trained-model-update.json</w:t>
      </w:r>
      <w:r>
        <w:rPr>
          <w:rFonts w:ascii="Calibri" w:hAnsi="Calibri"/>
          <w:i w:val="0"/>
          <w:color w:val="141B2E"/>
          <w:sz w:val="21"/>
        </w:rPr>
        <w:t xml:space="preserve"> записано, і вони посилаються на очікувані класи часу виконання.</w:t>
      </w:r>
    </w:p>
    <w:p>
      <w:pPr>
        <w:spacing w:after="60" w:line="269" w:lineRule="auto"/>
        <w:ind w:left="720" w:hanging="317"/>
      </w:pPr>
      <w:r>
        <w:rPr>
          <w:rFonts w:ascii="Calibri" w:hAnsi="Calibri"/>
          <w:b/>
          <w:color w:val="0E7C86"/>
          <w:sz w:val="21"/>
        </w:rPr>
        <w:t xml:space="preserve">7.  </w:t>
      </w:r>
      <w:r>
        <w:rPr>
          <w:rFonts w:ascii="Calibri" w:hAnsi="Calibri"/>
          <w:i w:val="0"/>
          <w:color w:val="141B2E"/>
          <w:sz w:val="21"/>
        </w:rPr>
        <w:t>Згенеровані артефакти містять контрольну суму, кількості джерел, політику розбиття, метрики та поріг.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AF1F9"/>
          <w:left w:val="single" w:sz="4" w:space="0" w:color="EAF1F9"/>
          <w:bottom w:val="single" w:sz="4" w:space="0" w:color="EAF1F9"/>
          <w:right w:val="single" w:sz="4" w:space="0" w:color="EAF1F9"/>
          <w:insideH w:val="single" w:sz="4" w:space="0" w:color="EAF1F9"/>
          <w:insideV w:val="single" w:sz="4" w:space="0" w:color="EAF1F9"/>
        </w:tblBorders>
      </w:tblPr>
      <w:tblGrid>
        <w:gridCol w:w="9173"/>
      </w:tblGrid>
      <w:tr>
        <w:tc>
          <w:tcPr>
            <w:tcW w:type="dxa" w:w="9173"/>
            <w:shd w:val="clear" w:color="auto" w:fill="EAF1F9"/>
            <w:tcMar>
              <w:top w:w="120" w:type="dxa"/>
              <w:bottom w:w="120" w:type="dxa"/>
              <w:start w:w="160" w:type="dxa"/>
              <w:end w:w="160" w:type="dxa"/>
            </w:tcMar>
            <w:tcBorders>
              <w:left w:val="single" w:sz="24" w:space="0" w:color="1C5D99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1C5D99"/>
                <w:sz w:val="21"/>
              </w:rPr>
              <w:t>Перевірка відтворюваності</w:t>
            </w:r>
          </w:p>
          <w:p>
            <w:pPr>
              <w:spacing w:after="0"/>
            </w:pPr>
            <w:r>
              <w:rPr>
                <w:rFonts w:ascii="Calibri" w:hAnsi="Calibri"/>
                <w:i w:val="0"/>
                <w:color w:val="141B2E"/>
                <w:sz w:val="20"/>
              </w:rPr>
              <w:t>Еталонний запуск детермінований. Повторний запуск тієї самої команди має дати ту саму контрольну суму навчання (</w:t>
            </w:r>
            <w:r>
              <w:rPr>
                <w:rFonts w:ascii="Consolas" w:hAnsi="Consolas"/>
                <w:color w:val="102A54"/>
                <w:sz w:val="19"/>
              </w:rPr>
              <w:t>trained-model-update.json</w:t>
            </w:r>
            <w:r>
              <w:rPr>
                <w:rFonts w:ascii="Calibri" w:hAnsi="Calibri"/>
                <w:i w:val="0"/>
                <w:color w:val="141B2E"/>
                <w:sz w:val="20"/>
              </w:rPr>
              <w:t>) і ті самі метрики. Розбіжність у будь-чому з них — сигнал, що змінилися вхідні дані чи інструментарій.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keepNext/>
        <w:spacing w:before="320" w:after="40"/>
        <w:pBdr>
          <w:bottom w:val="single" w:sz="10" w:space="4" w:color="0E7C86"/>
        </w:pBdr>
      </w:pPr>
      <w:r>
        <w:rPr>
          <w:rFonts w:ascii="Calibri" w:hAnsi="Calibri"/>
          <w:b/>
          <w:color w:val="0E7C86"/>
          <w:sz w:val="34"/>
        </w:rPr>
        <w:t xml:space="preserve">13  </w:t>
      </w:r>
      <w:r>
        <w:rPr>
          <w:rFonts w:ascii="Calibri" w:hAnsi="Calibri"/>
          <w:b/>
          <w:color w:val="102A54"/>
          <w:sz w:val="34"/>
        </w:rPr>
        <w:t>Усунення несправностей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BE5"/>
          <w:left w:val="single" w:sz="4" w:space="0" w:color="D6DBE5"/>
          <w:bottom w:val="single" w:sz="4" w:space="0" w:color="D6DBE5"/>
          <w:right w:val="single" w:sz="4" w:space="0" w:color="D6DBE5"/>
          <w:insideH w:val="single" w:sz="4" w:space="0" w:color="D6DBE5"/>
          <w:insideV w:val="single" w:sz="4" w:space="0" w:color="D6DBE5"/>
        </w:tblBorders>
      </w:tblPr>
      <w:tblGrid>
        <w:gridCol w:w="4586"/>
        <w:gridCol w:w="4586"/>
      </w:tblGrid>
      <w:tr>
        <w:tc>
          <w:tcPr>
            <w:tcW w:type="dxa" w:w="4320"/>
            <w:shd w:val="clear" w:color="auto" w:fill="0E7C8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Симптом</w:t>
            </w:r>
          </w:p>
        </w:tc>
        <w:tc>
          <w:tcPr>
            <w:tcW w:type="dxa" w:w="5472"/>
            <w:shd w:val="clear" w:color="auto" w:fill="0E7C8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Імовірна причина й виправлення</w:t>
            </w:r>
          </w:p>
        </w:tc>
      </w:tr>
      <w:tr>
        <w:tc>
          <w:tcPr>
            <w:tcW w:type="dxa" w:w="432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java -version</w:t>
            </w:r>
            <w:r>
              <w:rPr>
                <w:rFonts w:ascii="Calibri" w:hAnsi="Calibri"/>
                <w:i w:val="0"/>
                <w:color w:val="141B2E"/>
                <w:sz w:val="19"/>
              </w:rPr>
              <w:t xml:space="preserve"> показує &lt; 17</w:t>
            </w:r>
          </w:p>
        </w:tc>
        <w:tc>
          <w:tcPr>
            <w:tcW w:type="dxa" w:w="547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 xml:space="preserve">Встановіть JDK 17+ і вкажіть на нього </w:t>
            </w:r>
            <w:r>
              <w:rPr>
                <w:rFonts w:ascii="Consolas" w:hAnsi="Consolas"/>
                <w:color w:val="102A54"/>
                <w:sz w:val="18"/>
              </w:rPr>
              <w:t>JAVA_HOME</w:t>
            </w:r>
          </w:p>
        </w:tc>
      </w:tr>
      <w:tr>
        <w:tc>
          <w:tcPr>
            <w:tcW w:type="dxa" w:w="432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Збірка падає на JDK 17 з попередженнями рефлексії</w:t>
            </w:r>
          </w:p>
        </w:tc>
        <w:tc>
          <w:tcPr>
            <w:tcW w:type="dxa" w:w="5472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 xml:space="preserve">Дотримайте мінімумів плагінів Maven з README; вживайте </w:t>
            </w:r>
            <w:r>
              <w:rPr>
                <w:rFonts w:ascii="Consolas" w:hAnsi="Consolas"/>
                <w:color w:val="102A54"/>
                <w:sz w:val="18"/>
              </w:rPr>
              <w:t>&lt;release&gt;17&lt;/release&gt;</w:t>
            </w:r>
          </w:p>
        </w:tc>
      </w:tr>
      <w:tr>
        <w:tc>
          <w:tcPr>
            <w:tcW w:type="dxa" w:w="432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Тренер виходить з помилкою «test F1 below required»</w:t>
            </w:r>
          </w:p>
        </w:tc>
        <w:tc>
          <w:tcPr>
            <w:tcW w:type="dxa" w:w="547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 xml:space="preserve">Розбиття чи дані заслабкі; перевірте політику розбиття маніфесту та </w:t>
            </w:r>
            <w:r>
              <w:rPr>
                <w:rFonts w:ascii="Consolas" w:hAnsi="Consolas"/>
                <w:color w:val="102A54"/>
                <w:sz w:val="18"/>
              </w:rPr>
              <w:t>--min-test-f1</w:t>
            </w:r>
          </w:p>
        </w:tc>
      </w:tr>
      <w:tr>
        <w:tc>
          <w:tcPr>
            <w:tcW w:type="dxa" w:w="432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«estimated canonical corpus exceeds --max-corpus-bytes»</w:t>
            </w:r>
          </w:p>
        </w:tc>
        <w:tc>
          <w:tcPr>
            <w:tcW w:type="dxa" w:w="5472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 xml:space="preserve">Знизьте </w:t>
            </w:r>
            <w:r>
              <w:rPr>
                <w:rFonts w:ascii="Consolas" w:hAnsi="Consolas"/>
                <w:color w:val="102A54"/>
                <w:sz w:val="18"/>
              </w:rPr>
              <w:t>--reference-multiplier</w:t>
            </w:r>
            <w:r>
              <w:rPr>
                <w:rFonts w:ascii="Calibri" w:hAnsi="Calibri"/>
                <w:i w:val="0"/>
                <w:color w:val="141B2E"/>
                <w:sz w:val="19"/>
              </w:rPr>
              <w:t>/</w:t>
            </w:r>
            <w:r>
              <w:rPr>
                <w:rFonts w:ascii="Consolas" w:hAnsi="Consolas"/>
                <w:color w:val="102A54"/>
                <w:sz w:val="18"/>
              </w:rPr>
              <w:t>--target-corpus-bytes</w:t>
            </w:r>
            <w:r>
              <w:rPr>
                <w:rFonts w:ascii="Calibri" w:hAnsi="Calibri"/>
                <w:i w:val="0"/>
                <w:color w:val="141B2E"/>
                <w:sz w:val="19"/>
              </w:rPr>
              <w:t xml:space="preserve"> або свідомо підніміть запобіжник</w:t>
            </w:r>
          </w:p>
        </w:tc>
      </w:tr>
      <w:tr>
        <w:tc>
          <w:tcPr>
            <w:tcW w:type="dxa" w:w="432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 xml:space="preserve">Джерело відсутнє в </w:t>
            </w:r>
            <w:r>
              <w:rPr>
                <w:rFonts w:ascii="Consolas" w:hAnsi="Consolas"/>
                <w:color w:val="102A54"/>
                <w:sz w:val="18"/>
              </w:rPr>
              <w:t>source-mapping.json</w:t>
            </w:r>
          </w:p>
        </w:tc>
        <w:tc>
          <w:tcPr>
            <w:tcW w:type="dxa" w:w="547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 xml:space="preserve">Перевірте шаблони маніфесту та </w:t>
            </w:r>
            <w:r>
              <w:rPr>
                <w:rFonts w:ascii="Consolas" w:hAnsi="Consolas"/>
                <w:color w:val="102A54"/>
                <w:sz w:val="18"/>
              </w:rPr>
              <w:t>requireAllSources</w:t>
            </w:r>
            <w:r>
              <w:rPr>
                <w:rFonts w:ascii="Calibri" w:hAnsi="Calibri"/>
                <w:i w:val="0"/>
                <w:color w:val="141B2E"/>
                <w:sz w:val="19"/>
              </w:rPr>
              <w:t>; підтвердьте, що файли завантажено</w:t>
            </w:r>
          </w:p>
        </w:tc>
      </w:tr>
      <w:tr>
        <w:tc>
          <w:tcPr>
            <w:tcW w:type="dxa" w:w="432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Файли рівнів не записано</w:t>
            </w:r>
          </w:p>
        </w:tc>
        <w:tc>
          <w:tcPr>
            <w:tcW w:type="dxa" w:w="5472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 xml:space="preserve">Переконайтеся, що </w:t>
            </w:r>
            <w:r>
              <w:rPr>
                <w:rFonts w:ascii="Consolas" w:hAnsi="Consolas"/>
                <w:color w:val="102A54"/>
                <w:sz w:val="18"/>
              </w:rPr>
              <w:t>--output-dir</w:t>
            </w:r>
            <w:r>
              <w:rPr>
                <w:rFonts w:ascii="Calibri" w:hAnsi="Calibri"/>
                <w:i w:val="0"/>
                <w:color w:val="141B2E"/>
                <w:sz w:val="19"/>
              </w:rPr>
              <w:t xml:space="preserve"> доступний для запису; тренер пише туди всі десять артефактів</w:t>
            </w:r>
          </w:p>
        </w:tc>
      </w:tr>
      <w:tr>
        <w:tc>
          <w:tcPr>
            <w:tcW w:type="dxa" w:w="432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Проблеми з кирилицею / кодуванням у CSV</w:t>
            </w:r>
          </w:p>
        </w:tc>
        <w:tc>
          <w:tcPr>
            <w:tcW w:type="dxa" w:w="547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Зберігайте джерела як UTF-8; читач очікує UTF-8 JSONL/CSV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keepNext/>
        <w:spacing w:before="320" w:after="40"/>
        <w:pBdr>
          <w:bottom w:val="single" w:sz="10" w:space="4" w:color="0E7C86"/>
        </w:pBdr>
      </w:pPr>
      <w:r>
        <w:rPr>
          <w:rFonts w:ascii="Calibri" w:hAnsi="Calibri"/>
          <w:b/>
          <w:color w:val="0E7C86"/>
          <w:sz w:val="34"/>
        </w:rPr>
        <w:t xml:space="preserve">14  </w:t>
      </w:r>
      <w:r>
        <w:rPr>
          <w:rFonts w:ascii="Calibri" w:hAnsi="Calibri"/>
          <w:b/>
          <w:color w:val="102A54"/>
          <w:sz w:val="34"/>
        </w:rPr>
        <w:t>Додаток — шпаргалка навчання</w:t>
      </w:r>
    </w:p>
    <w:p>
      <w:pPr>
        <w:keepNext/>
        <w:spacing w:before="180" w:after="20"/>
      </w:pPr>
      <w:r>
        <w:rPr>
          <w:rFonts w:ascii="Calibri" w:hAnsi="Calibri"/>
          <w:b/>
          <w:color w:val="0E7C86"/>
          <w:sz w:val="22"/>
        </w:rPr>
        <w:t>Збірка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173"/>
      </w:tblGrid>
      <w:tr>
        <w:tc>
          <w:tcPr>
            <w:tcW w:type="dxa" w:w="9173"/>
            <w:shd w:val="clear" w:color="auto" w:fill="0E1A2B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git clone https://github.com/rakovpublic/jneopallium.git &amp;&amp; cd jneopallium &amp;&amp; mvn clean install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keepNext/>
        <w:spacing w:before="180" w:after="20"/>
      </w:pPr>
      <w:r>
        <w:rPr>
          <w:rFonts w:ascii="Calibri" w:hAnsi="Calibri"/>
          <w:b/>
          <w:color w:val="0E7C86"/>
          <w:sz w:val="22"/>
        </w:rPr>
        <w:t>Запуск набору демо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173"/>
      </w:tblGrid>
      <w:tr>
        <w:tc>
          <w:tcPr>
            <w:tcW w:type="dxa" w:w="9173"/>
            <w:shd w:val="clear" w:color="auto" w:fill="0E1A2B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# Windows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powershell -ExecutionPolicy Bypass -File scripts/demo-fullrun/run_all_fullrun_demos.ps1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# Linux / macOS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scripts/demo-fullrun/run_all_fullrun_demos.sh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keepNext/>
        <w:spacing w:before="180" w:after="20"/>
      </w:pPr>
      <w:r>
        <w:rPr>
          <w:rFonts w:ascii="Calibri" w:hAnsi="Calibri"/>
          <w:b/>
          <w:color w:val="0E7C86"/>
          <w:sz w:val="22"/>
        </w:rPr>
        <w:t>Навчання (еталон / масштаб / зовнішнє / сире)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173"/>
      </w:tblGrid>
      <w:tr>
        <w:tc>
          <w:tcPr>
            <w:tcW w:type="dxa" w:w="9173"/>
            <w:shd w:val="clear" w:color="auto" w:fill="0E1A2B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# еталон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python scripts/demo-cybersecurity-training/train_temporal_model.py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# еталон промислового масштабу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python scripts/demo-cybersecurity-training/train_temporal_model.py \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--reference-multiplier 1000 --target-corpus-bytes 100gb \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--max-corpus-bytes 100gb --max-train-windows-per-epoch 4096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# зовнішній маніфест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python scripts/demo-cybersecurity-training/train_temporal_model.py \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--manifest scripts/demo-cybersecurity-training/dataset-manifest-template.json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# сирі LANL + ToN_IoT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python scripts/demo-cybersecurity-training/train_temporal_model.py \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--manifest scripts/demo-cybersecurity-training/dataset-manifest-lanl-toniot-template.json \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--max-corpus-bytes 100gb --max-train-windows-per-epoch 4096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after="0" w:before="0"/>
      </w:pPr>
      <w:r>
        <w:rPr>
          <w:sz w:val="16"/>
        </w:rPr>
      </w:r>
    </w:p>
    <w:p>
      <w:pPr>
        <w:spacing w:after="120"/>
      </w:pPr>
      <w:r>
        <w:rPr>
          <w:rFonts w:ascii="Calibri" w:hAnsi="Calibri"/>
          <w:i/>
          <w:color w:val="0E7C86"/>
          <w:sz w:val="21"/>
        </w:rPr>
        <w:t>Модуль кібербезпеки Jneopallium · Демо 06 · Посібник з навчання. Тренер видає готову до розгортання мережу JNeopallium; як її запустити — у Посібнику з розгортання. Режим безпеки: ADVISORY. Ліцензія: BSD 3-Clause.</w:t>
      </w:r>
    </w:p>
    <w:sectPr w:rsidR="00FC693F" w:rsidRPr="0006063C" w:rsidSect="00034616">
      <w:footerReference w:type="default" r:id="rId9"/>
      <w:pgSz w:w="11909" w:h="16834"/>
      <w:pgMar w:top="1296" w:right="1368" w:bottom="1296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8A93A6"/>
        <w:sz w:val="16"/>
      </w:rPr>
      <w:t>Jneopallium · Демо 06 · Часова кореляція кіберзагроз · ADVISORY</w:t>
    </w:r>
    <w:r>
      <w:rPr>
        <w:sz w:val="16"/>
      </w:rPr>
      <w:t xml:space="preserve">    </w:t>
    </w:r>
    <w:r>
      <w:rPr>
        <w:color w:val="8A93A6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/>
      <w:color w:val="141B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