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A3667"/>
          <w:sz w:val="36"/>
          <w:szCs w:val="36"/>
        </w:rPr>
        <w:t xml:space="preserve">Integrating Large Language Models as an Optional External Knowledge Base into the Jneopallium Natural Neuron Network Framework</w:t>
      </w:r>
    </w:p>
    <w:p>
      <w:pPr>
        <w:spacing w:after="80"/>
        <w:jc w:val="center"/>
      </w:pPr>
      <w:r>
        <w:rPr>
          <w:rFonts w:ascii="Arial" w:cs="Arial" w:eastAsia="Arial" w:hAnsi="Arial"/>
          <w:sz w:val="24"/>
          <w:szCs w:val="24"/>
        </w:rPr>
        <w:t xml:space="preserve">Dmytro Rakovskyi</w:t>
      </w:r>
    </w:p>
    <w:p>
      <w:pPr>
        <w:spacing w:after="80"/>
        <w:jc w:val="center"/>
      </w:pPr>
      <w:r>
        <w:rPr>
          <w:rFonts w:ascii="Arial" w:cs="Arial" w:eastAsia="Arial" w:hAnsi="Arial"/>
          <w:i/>
          <w:iCs/>
          <w:sz w:val="22"/>
          <w:szCs w:val="22"/>
        </w:rPr>
        <w:t xml:space="preserve">Jneopallium, Kharkiv, Ukraine</w:t>
      </w:r>
    </w:p>
    <w:p>
      <w:pPr>
        <w:spacing w:after="300"/>
        <w:jc w:val="center"/>
      </w:pPr>
      <w:r>
        <w:rPr>
          <w:rFonts w:ascii="Arial" w:cs="Arial" w:eastAsia="Arial" w:hAnsi="Arial"/>
          <w:color w:val="666666"/>
          <w:sz w:val="20"/>
          <w:szCs w:val="20"/>
        </w:rPr>
        <w:t xml:space="preserve">Based on the jneopallium Framework · 2024–2025</w:t>
      </w:r>
    </w:p>
    <w:p>
      <w:pPr>
        <w:pStyle w:val="Heading1"/>
      </w:pPr>
      <w:r>
        <w:t xml:space="preserve">Abstract</w:t>
      </w:r>
    </w:p>
    <w:p>
      <w:pPr>
        <w:spacing w:after="200"/>
      </w:pPr>
      <w:r>
        <w:rPr>
          <w:rFonts w:ascii="Arial" w:cs="Arial" w:eastAsia="Arial" w:hAnsi="Arial"/>
          <w:sz w:val="22"/>
          <w:szCs w:val="22"/>
        </w:rPr>
        <w:t xml:space="preserve">This article proposes an architectural extension to the jneopallium natural neuron network modeling framework that integrates Large Language Models (LLMs) as an optional, non-blocking external knowledge base. The design introduces four new signal types (LLMQuerySignal, LLMResponseSignal, LLMConfidenceSignal, LLMTimeoutSignal), three new neuron classes (LLMKnowledgeNeuron, LLMVerificationNeuron, LLMFallbackNeuron), and two new signal processors (LLMQueryProcessor, LLMResponseProcessor). The integration is strictly optional: the autonomous AI system must never rely on the LLM as a source of truth and must always cross-validate LLM responses against its internal models before applying them. The architecture ensures graceful degradation when the LLM is unavailable, treating it as an advisory subsystem rather than a critical dependency.</w:t>
      </w:r>
    </w:p>
    <w:p>
      <w:pPr>
        <w:spacing w:after="200"/>
      </w:pPr>
      <w:r>
        <w:rPr>
          <w:rFonts w:ascii="Arial" w:cs="Arial" w:eastAsia="Arial" w:hAnsi="Arial"/>
          <w:b/>
          <w:bCs/>
          <w:sz w:val="22"/>
          <w:szCs w:val="22"/>
        </w:rPr>
        <w:t xml:space="preserve">Keywords: </w:t>
      </w:r>
      <w:r>
        <w:rPr>
          <w:rFonts w:ascii="Arial" w:cs="Arial" w:eastAsia="Arial" w:hAnsi="Arial"/>
          <w:i/>
          <w:iCs/>
          <w:sz w:val="22"/>
          <w:szCs w:val="22"/>
        </w:rPr>
        <w:t xml:space="preserve">jneopallium, LLM integration, knowledge base, autonomous AI, neuron network modeling, non-blocking architecture, Java framework</w:t>
      </w:r>
    </w:p>
    <w:p>
      <w:pPr>
        <w:pStyle w:val="Heading1"/>
      </w:pPr>
      <w:r>
        <w:t xml:space="preserve">1. Introduction</w:t>
      </w:r>
    </w:p>
    <w:p>
      <w:pPr>
        <w:spacing w:after="200"/>
      </w:pPr>
      <w:r>
        <w:rPr>
          <w:rFonts w:ascii="Arial" w:cs="Arial" w:eastAsia="Arial" w:hAnsi="Arial"/>
          <w:sz w:val="22"/>
          <w:szCs w:val="22"/>
        </w:rPr>
        <w:t xml:space="preserve">The jneopallium framework (Rakovskyi, IJSR 2024) provides a biologically-grounded Java toolkit for modeling arbitrary neuron network architectures. Unlike conventional deep learning frameworks that operate on matrix operations, jneopallium encodes each neuron as a typed Java object with dendrites, signal-processor chains, and an axon, mirroring the receptor-heterogeneity of biological neurons. The companion article on autonomous AI architecture derived a complete system using sixteen signal types, twenty-eight neuron classes, and a multi-layer harm-discriminator module.</w:t>
      </w:r>
    </w:p>
    <w:p>
      <w:pPr>
        <w:spacing w:after="200"/>
      </w:pPr>
      <w:r>
        <w:rPr>
          <w:rFonts w:ascii="Arial" w:cs="Arial" w:eastAsia="Arial" w:hAnsi="Arial"/>
          <w:sz w:val="22"/>
          <w:szCs w:val="22"/>
        </w:rPr>
        <w:t xml:space="preserve">Modern LLMs represent vast compressed knowledge bases capable of answering factual queries, summarizing contexts, and providing reasoning assistance. However, LLMs suffer from hallucinations, latency variability, and availability constraints. For an autonomous AI system operating in real-time environments such as robotics or mission control, LLM access cannot be a blocking dependency. This article addresses the integration challenge: how to leverage LLM capabilities without creating a single point of failure or compromising the system’s autonomous decision-making integrity.</w:t>
      </w:r>
    </w:p>
    <w:p>
      <w:pPr>
        <w:pStyle w:val="Heading1"/>
      </w:pPr>
      <w:r>
        <w:t xml:space="preserve">2. Design Principles</w:t>
      </w:r>
    </w:p>
    <w:p>
      <w:pPr>
        <w:spacing w:after="200"/>
      </w:pPr>
      <w:r>
        <w:rPr>
          <w:rFonts w:ascii="Arial" w:cs="Arial" w:eastAsia="Arial" w:hAnsi="Arial"/>
          <w:sz w:val="22"/>
          <w:szCs w:val="22"/>
        </w:rPr>
        <w:t xml:space="preserve">The LLM integration follows five core principles derived from the requirements of autonomous systems operating under uncertainty:</w:t>
      </w:r>
    </w:p>
    <w:p>
      <w:pPr>
        <w:pStyle w:val="ListParagraph"/>
        <w:numPr>
          <w:ilvl w:val="0"/>
          <w:numId w:val="2"/>
        </w:numPr>
        <w:spacing w:after="80"/>
      </w:pPr>
      <w:r>
        <w:rPr>
          <w:rFonts w:ascii="Arial" w:cs="Arial" w:eastAsia="Arial" w:hAnsi="Arial"/>
          <w:b/>
          <w:bCs/>
          <w:sz w:val="22"/>
          <w:szCs w:val="22"/>
        </w:rPr>
        <w:t xml:space="preserve">Non-blocking: </w:t>
      </w:r>
      <w:r>
        <w:rPr>
          <w:rFonts w:ascii="Arial" w:cs="Arial" w:eastAsia="Arial" w:hAnsi="Arial"/>
          <w:sz w:val="22"/>
          <w:szCs w:val="22"/>
        </w:rPr>
        <w:t xml:space="preserve">LLM queries are dispatched asynchronously on the slow processing loop. The fast loop (sensorimotor, action selection) never waits for an LLM response. If the response arrives after the decision window, it is discarded or cached for future reference.</w:t>
      </w:r>
    </w:p>
    <w:p>
      <w:pPr>
        <w:pStyle w:val="ListParagraph"/>
        <w:numPr>
          <w:ilvl w:val="0"/>
          <w:numId w:val="2"/>
        </w:numPr>
        <w:spacing w:after="80"/>
      </w:pPr>
      <w:r>
        <w:rPr>
          <w:rFonts w:ascii="Arial" w:cs="Arial" w:eastAsia="Arial" w:hAnsi="Arial"/>
          <w:b/>
          <w:bCs/>
          <w:sz w:val="22"/>
          <w:szCs w:val="22"/>
        </w:rPr>
        <w:t xml:space="preserve">Optional: </w:t>
      </w:r>
      <w:r>
        <w:rPr>
          <w:rFonts w:ascii="Arial" w:cs="Arial" w:eastAsia="Arial" w:hAnsi="Arial"/>
          <w:sz w:val="22"/>
          <w:szCs w:val="22"/>
        </w:rPr>
        <w:t xml:space="preserve">The system must operate at full autonomous capability when the LLM is unavailable. LLM unavailability triggers graceful degradation, not system failure. The LLMFallbackNeuron ensures internal knowledge pathways remain active.</w:t>
      </w:r>
    </w:p>
    <w:p>
      <w:pPr>
        <w:pStyle w:val="ListParagraph"/>
        <w:numPr>
          <w:ilvl w:val="0"/>
          <w:numId w:val="2"/>
        </w:numPr>
        <w:spacing w:after="80"/>
      </w:pPr>
      <w:r>
        <w:rPr>
          <w:rFonts w:ascii="Arial" w:cs="Arial" w:eastAsia="Arial" w:hAnsi="Arial"/>
          <w:b/>
          <w:bCs/>
          <w:sz w:val="22"/>
          <w:szCs w:val="22"/>
        </w:rPr>
        <w:t xml:space="preserve">Untrusted advisory: </w:t>
      </w:r>
      <w:r>
        <w:rPr>
          <w:rFonts w:ascii="Arial" w:cs="Arial" w:eastAsia="Arial" w:hAnsi="Arial"/>
          <w:sz w:val="22"/>
          <w:szCs w:val="22"/>
        </w:rPr>
        <w:t xml:space="preserve">LLM responses are never treated as ground truth. Every response must pass through the LLMVerificationNeuron, which cross-checks claims against internal models (PredictiveNeuron, LongTermMemoryNeuron) and environmental sensor data before allowing the information to influence decision-making.</w:t>
      </w:r>
    </w:p>
    <w:p>
      <w:pPr>
        <w:pStyle w:val="ListParagraph"/>
        <w:numPr>
          <w:ilvl w:val="0"/>
          <w:numId w:val="2"/>
        </w:numPr>
        <w:spacing w:after="80"/>
      </w:pPr>
      <w:r>
        <w:rPr>
          <w:rFonts w:ascii="Arial" w:cs="Arial" w:eastAsia="Arial" w:hAnsi="Arial"/>
          <w:b/>
          <w:bCs/>
          <w:sz w:val="22"/>
          <w:szCs w:val="22"/>
        </w:rPr>
        <w:t xml:space="preserve">Applicability filtering: </w:t>
      </w:r>
      <w:r>
        <w:rPr>
          <w:rFonts w:ascii="Arial" w:cs="Arial" w:eastAsia="Arial" w:hAnsi="Arial"/>
          <w:sz w:val="22"/>
          <w:szCs w:val="22"/>
        </w:rPr>
        <w:t xml:space="preserve">Before applying LLM-sourced knowledge, the system evaluates whether the information is relevant to the current situational context. An LLM might return factually accurate information that is irrelevant to the current operational scenario. The LLMVerificationNeuron performs context-relevance scoring.</w:t>
      </w:r>
    </w:p>
    <w:p>
      <w:pPr>
        <w:pStyle w:val="ListParagraph"/>
        <w:numPr>
          <w:ilvl w:val="0"/>
          <w:numId w:val="2"/>
        </w:numPr>
        <w:spacing w:after="200"/>
      </w:pPr>
      <w:r>
        <w:rPr>
          <w:rFonts w:ascii="Arial" w:cs="Arial" w:eastAsia="Arial" w:hAnsi="Arial"/>
          <w:b/>
          <w:bCs/>
          <w:sz w:val="22"/>
          <w:szCs w:val="22"/>
        </w:rPr>
        <w:t xml:space="preserve">Harm-discriminator integration: </w:t>
      </w:r>
      <w:r>
        <w:rPr>
          <w:rFonts w:ascii="Arial" w:cs="Arial" w:eastAsia="Arial" w:hAnsi="Arial"/>
          <w:sz w:val="22"/>
          <w:szCs w:val="22"/>
        </w:rPr>
        <w:t xml:space="preserve">LLM-sourced information that passes verification still flows through the existing HarmGateNeuron before influencing action selection. The LLM cannot bypass safety mechanisms.</w:t>
      </w:r>
    </w:p>
    <w:p>
      <w:pPr>
        <w:pStyle w:val="Heading1"/>
      </w:pPr>
      <w:r>
        <w:t xml:space="preserve">3. New Signal Types</w:t>
      </w:r>
    </w:p>
    <w:p>
      <w:pPr>
        <w:pStyle w:val="Heading2"/>
      </w:pPr>
      <w:r>
        <w:t xml:space="preserve">3.1 LLMQuerySignal</w:t>
      </w:r>
    </w:p>
    <w:p>
      <w:pPr>
        <w:spacing w:after="200"/>
      </w:pPr>
      <w:r>
        <w:rPr>
          <w:rFonts w:ascii="Arial" w:cs="Arial" w:eastAsia="Arial" w:hAnsi="Arial"/>
          <w:sz w:val="22"/>
          <w:szCs w:val="22"/>
        </w:rPr>
        <w:t xml:space="preserve">Extends the base Signal interface. Contains the query text, a context snapshot from WorkingMemoryNeuron, a priority level (LOW, MEDIUM, HIGH), a maximum acceptable latency in milliseconds, and a queryId for correlation. Processed on the slow loop at epoch 2. When the LLM is unavailable, LLMQuerySignals are silently dropped by LLMFallbackNeuron after a configurable timeout.</w:t>
      </w:r>
    </w:p>
    <w:p>
      <w:pPr>
        <w:pStyle w:val="Heading2"/>
      </w:pPr>
      <w:r>
        <w:t xml:space="preserve">3.2 LLMResponseSignal</w:t>
      </w:r>
    </w:p>
    <w:p>
      <w:pPr>
        <w:spacing w:after="200"/>
      </w:pPr>
      <w:r>
        <w:rPr>
          <w:rFonts w:ascii="Arial" w:cs="Arial" w:eastAsia="Arial" w:hAnsi="Arial"/>
          <w:sz w:val="22"/>
          <w:szCs w:val="22"/>
        </w:rPr>
        <w:t xml:space="preserve">Carries the LLM’s response text, a self-reported confidence score (0.0–1.0), the original queryId for correlation, the response latency in milliseconds, and the model identifier string. The confidence score is provided by the LLM but is never trusted at face value—the LLMVerificationNeuron computes its own independent confidence estimate.</w:t>
      </w:r>
    </w:p>
    <w:p>
      <w:pPr>
        <w:pStyle w:val="Heading2"/>
      </w:pPr>
      <w:r>
        <w:t xml:space="preserve">3.3 LLMConfidenceSignal</w:t>
      </w:r>
    </w:p>
    <w:p>
      <w:pPr>
        <w:spacing w:after="200"/>
      </w:pPr>
      <w:r>
        <w:rPr>
          <w:rFonts w:ascii="Arial" w:cs="Arial" w:eastAsia="Arial" w:hAnsi="Arial"/>
          <w:sz w:val="22"/>
          <w:szCs w:val="22"/>
        </w:rPr>
        <w:t xml:space="preserve">Emitted by LLMVerificationNeuron after cross-validation. Contains the verified confidence score, a list of verification checks that passed or failed, a relevance score (0.0–1.0 measuring applicability to the current situation), and a verdict (APPLICABLE, PARTIALLY_APPLICABLE, NOT_APPLICABLE, CONTRADICTORY). Only APPLICABLE and PARTIALLY_APPLICABLE verdicts allow the information to influence downstream processing.</w:t>
      </w:r>
    </w:p>
    <w:p>
      <w:pPr>
        <w:pStyle w:val="Heading2"/>
      </w:pPr>
      <w:r>
        <w:t xml:space="preserve">3.4 LLMTimeoutSignal</w:t>
      </w:r>
    </w:p>
    <w:p>
      <w:pPr>
        <w:spacing w:after="200"/>
      </w:pPr>
      <w:r>
        <w:rPr>
          <w:rFonts w:ascii="Arial" w:cs="Arial" w:eastAsia="Arial" w:hAnsi="Arial"/>
          <w:sz w:val="22"/>
          <w:szCs w:val="22"/>
        </w:rPr>
        <w:t xml:space="preserve">Emitted when the LLM fails to respond within the maxLatency specified in the original LLMQuerySignal. Triggers the LLMFallbackNeuron to activate internal knowledge pathways and increments the unavailability counter. After a configurable number of consecutive timeouts, the system stops sending LLMQuerySignals for a backoff period.</w:t>
      </w:r>
    </w:p>
    <w:p>
      <w:pPr>
        <w:pStyle w:val="Heading2"/>
      </w:pPr>
      <w:r>
        <w:t xml:space="preserve">3.5 Signal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Signal Type</w:t>
            </w:r>
          </w:p>
        </w:tc>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Loop</w:t>
            </w:r>
          </w:p>
        </w:tc>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Epoch</w:t>
            </w:r>
          </w:p>
        </w:tc>
        <w:tc>
          <w:tcPr>
            <w:tcW w:type="dxa" w:w="4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LLMQuerySignal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Dispatch query to external LLM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LLMResponseSignal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Carry LLM response back to network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LLMConfidenceSignal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Verified confidence and applicability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LLMTimeoutSignal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 fallback on LLM unavailability</w:t>
            </w:r>
          </w:p>
        </w:tc>
      </w:tr>
    </w:tbl>
    <w:p>
      <w:pPr>
        <w:spacing w:after="200"/>
      </w:pPr>
    </w:p>
    <w:p>
      <w:pPr>
        <w:pStyle w:val="Heading1"/>
      </w:pPr>
      <w:r>
        <w:t xml:space="preserve">4. New Neuron Types</w:t>
      </w:r>
    </w:p>
    <w:p>
      <w:pPr>
        <w:pStyle w:val="Heading2"/>
      </w:pPr>
      <w:r>
        <w:t xml:space="preserve">4.1 LLMKnowledgeNeuron</w:t>
      </w:r>
    </w:p>
    <w:p>
      <w:pPr>
        <w:spacing w:after="200"/>
      </w:pPr>
      <w:r>
        <w:rPr>
          <w:rFonts w:ascii="Arial" w:cs="Arial" w:eastAsia="Arial" w:hAnsi="Arial"/>
          <w:sz w:val="22"/>
          <w:szCs w:val="22"/>
        </w:rPr>
        <w:t xml:space="preserve">Situated on Layer 3 (Memory and Prediction) alongside LongTermMemoryNeuron and PredictiveNeuron. Implements the INeuron interface and a new ILLMCapable interface. Maintains an HTTP/gRPC client for communicating with the LLM API endpoint. On receiving a query from PlanningNeuron or AttentionNeuron (when a knowledge gap is detected), it formulates an LLMQuerySignal with the relevant context from WorkingMemoryNeuron. The neuron manages a response cache (HashMap&lt;String, LLMResponseSignal&gt;) with time-to-live to avoid redundant queries. Cache lookup is synchronous; actual LLM calls are always asynchronous. The neuron processes on slow loop, epoch 2.</w:t>
      </w:r>
    </w:p>
    <w:p>
      <w:pPr>
        <w:spacing w:after="200"/>
      </w:pPr>
      <w:r>
        <w:rPr>
          <w:rFonts w:ascii="Arial" w:cs="Arial" w:eastAsia="Arial" w:hAnsi="Arial"/>
          <w:sz w:val="22"/>
          <w:szCs w:val="22"/>
        </w:rPr>
        <w:t xml:space="preserve">Java interface definition:</w:t>
      </w:r>
    </w:p>
    <w:p>
      <w:pPr>
        <w:spacing w:after="200"/>
      </w:pPr>
      <w:r>
        <w:rPr>
          <w:rFonts w:ascii="Courier New" w:cs="Courier New" w:eastAsia="Courier New" w:hAnsi="Courier New"/>
          <w:sz w:val="20"/>
          <w:szCs w:val="20"/>
        </w:rPr>
        <w:t xml:space="preserve">public interface ILLMCapable extends INeuron {
    void submitQuery(LLMQuerySignal query);
    Optional&lt;LLMResponseSignal&gt; getCachedResponse(String queryId);
    boolean isLLMAvailable();
    void setLLMEndpoint(String endpoint);
    void setMaxLatency(long milliseconds);
}</w:t>
      </w:r>
    </w:p>
    <w:p>
      <w:pPr>
        <w:pStyle w:val="Heading2"/>
      </w:pPr>
      <w:r>
        <w:t xml:space="preserve">4.2 LLMVerificationNeuron</w:t>
      </w:r>
    </w:p>
    <w:p>
      <w:pPr>
        <w:spacing w:after="200"/>
      </w:pPr>
      <w:r>
        <w:rPr>
          <w:rFonts w:ascii="Arial" w:cs="Arial" w:eastAsia="Arial" w:hAnsi="Arial"/>
          <w:sz w:val="22"/>
          <w:szCs w:val="22"/>
        </w:rPr>
        <w:t xml:space="preserve">Also situated on Layer 3. This is the critical trust-boundary neuron. Every LLMResponseSignal must pass through this neuron before influencing any downstream processing. It performs four verification steps: (1) Consistency check — compares the LLM’s claims against data stored in LongTermMemoryNeuron and current sensor readings; (2) Contradiction detection — identifies claims that directly contradict the system’s internal predictive model; (3) Relevance scoring — measures how applicable the information is to the current operational context using cosine similarity between the response embedding and the current goal state; (4) Confidence recalibration — independently estimates confidence based on the verification results, ignoring the LLM’s self-reported confidence. Emits LLMConfidenceSignal with the verdict. Slow loop, epoch 3.</w:t>
      </w:r>
    </w:p>
    <w:p>
      <w:pPr>
        <w:pStyle w:val="Heading2"/>
      </w:pPr>
      <w:r>
        <w:t xml:space="preserve">4.3 LLMFallbackNeuron</w:t>
      </w:r>
    </w:p>
    <w:p>
      <w:pPr>
        <w:spacing w:after="200"/>
      </w:pPr>
      <w:r>
        <w:rPr>
          <w:rFonts w:ascii="Arial" w:cs="Arial" w:eastAsia="Arial" w:hAnsi="Arial"/>
          <w:sz w:val="22"/>
          <w:szCs w:val="22"/>
        </w:rPr>
        <w:t xml:space="preserve">Monitors LLM availability and manages graceful degradation. Tracks consecutive timeout count, maintains a circuit-breaker state machine (CLOSED → HALF_OPEN → OPEN), and routes queries to internal knowledge pathways when the circuit is OPEN. When the circuit is HALF_OPEN, it allows a single probe query per backoff period. On successful probe response, it transitions back to CLOSED. This pattern is borrowed from distributed systems resilience engineering and maps naturally to jneopallium’s neuron model because state machines are naturally represented as neuron internal state. Slow loop, epoch 1.</w:t>
      </w:r>
    </w:p>
    <w:p>
      <w:pPr>
        <w:pStyle w:val="Heading2"/>
      </w:pPr>
      <w:r>
        <w:t xml:space="preserve">4.4 Neuron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Neuron</w:t>
            </w:r>
          </w:p>
        </w:tc>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Loop/Epoch</w:t>
            </w:r>
          </w:p>
        </w:tc>
        <w:tc>
          <w:tcPr>
            <w:tcW w:type="dxa" w:w="4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LLMKnowledgeNeuron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Slow / 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Formulate queries, manage cache, dispatch to LLM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LLMVerificationNeuron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Slow / 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Cross-validate responses, emit confidence verdicts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LLMFallbackNeuron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Slow / 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Circuit breaker, graceful degradation management</w:t>
            </w:r>
          </w:p>
        </w:tc>
      </w:tr>
    </w:tbl>
    <w:p>
      <w:pPr>
        <w:spacing w:after="200"/>
      </w:pPr>
    </w:p>
    <w:p>
      <w:pPr>
        <w:pStyle w:val="Heading1"/>
      </w:pPr>
      <w:r>
        <w:t xml:space="preserve">5. Signal Processors</w:t>
      </w:r>
    </w:p>
    <w:p>
      <w:pPr>
        <w:pStyle w:val="Heading2"/>
      </w:pPr>
      <w:r>
        <w:t xml:space="preserve">5.1 LLMQueryProcessor</w:t>
      </w:r>
    </w:p>
    <w:p>
      <w:pPr>
        <w:spacing w:after="200"/>
      </w:pPr>
      <w:r>
        <w:rPr>
          <w:rFonts w:ascii="Arial" w:cs="Arial" w:eastAsia="Arial" w:hAnsi="Arial"/>
          <w:sz w:val="22"/>
          <w:szCs w:val="22"/>
        </w:rPr>
        <w:t xml:space="preserve">Implements ISignalProcessor&lt;LLMQuerySignal, ILLMCapable&gt;. Stateless processor that extracts the query context, formats it for the LLM API, and delegates the asynchronous HTTP/gRPC call to the neuron’s client. Sets up a CompletableFuture callback that, upon completion, creates an LLMResponseSignal and routes it to the neuron’s axon for downstream delivery to LLMVerificationNeuron. On timeout, creates an LLMTimeoutSignal instead.</w:t>
      </w:r>
    </w:p>
    <w:p>
      <w:pPr>
        <w:pStyle w:val="Heading2"/>
      </w:pPr>
      <w:r>
        <w:t xml:space="preserve">5.2 LLMResponseProcessor</w:t>
      </w:r>
    </w:p>
    <w:p>
      <w:pPr>
        <w:spacing w:after="200"/>
      </w:pPr>
      <w:r>
        <w:rPr>
          <w:rFonts w:ascii="Arial" w:cs="Arial" w:eastAsia="Arial" w:hAnsi="Arial"/>
          <w:sz w:val="22"/>
          <w:szCs w:val="22"/>
        </w:rPr>
        <w:t xml:space="preserve">Implements ISignalProcessor&lt;LLMResponseSignal, INeuron&gt;. Processes verified responses (those that have passed LLMVerificationNeuron with APPLICABLE or PARTIALLY_APPLICABLE verdict). For APPLICABLE responses, writes the information to WorkingMemoryNeuron as a named slot with a shorter-than-normal TTL (knowledge from untrusted external sources expires faster). For PARTIALLY_APPLICABLE responses, writes with an even shorter TTL and a reduced weight. Does not modify LongTermMemoryNeuron—LLM information never becomes permanent memory without repeated independent verification.</w:t>
      </w:r>
    </w:p>
    <w:p>
      <w:r>
        <w:br w:type="page"/>
      </w:r>
    </w:p>
    <w:p>
      <w:pPr>
        <w:pStyle w:val="Heading1"/>
      </w:pPr>
      <w:r>
        <w:t xml:space="preserve">6. Integration Architecture</w:t>
      </w:r>
    </w:p>
    <w:p>
      <w:pPr>
        <w:pStyle w:val="Heading2"/>
      </w:pPr>
      <w:r>
        <w:t xml:space="preserve">6.1 Signal Flow</w:t>
      </w:r>
    </w:p>
    <w:p>
      <w:pPr>
        <w:spacing w:after="200"/>
      </w:pPr>
      <w:r>
        <w:rPr>
          <w:rFonts w:ascii="Arial" w:cs="Arial" w:eastAsia="Arial" w:hAnsi="Arial"/>
          <w:sz w:val="22"/>
          <w:szCs w:val="22"/>
        </w:rPr>
        <w:t xml:space="preserve">The LLM integration adds a parallel advisory pathway alongside the existing memory and prediction layers. The signal flow is: (1) PlanningNeuron or AttentionNeuron detects a knowledge gap and emits a query request to LLMKnowledgeNeuron; (2) LLMFallbackNeuron checks circuit breaker state—if OPEN, routes to internal LongTermMemoryNeuron instead; (3) If CLOSED, LLMKnowledgeNeuron checks cache—on hit, returns cached response; on miss, dispatches LLMQuerySignal via LLMQueryProcessor; (4) LLMResponseSignal arrives asynchronously and is routed to LLMVerificationNeuron; (5) LLMVerificationNeuron cross-validates against internal models and emits LLMConfidenceSignal; (6) If verdict is APPLICABLE, the response is processed by LLMResponseProcessor into WorkingMemoryNeuron with reduced TTL; (7) The information then flows through normal planning and action-selection pathways, including the HarmGateNeuron safety check.</w:t>
      </w:r>
    </w:p>
    <w:p>
      <w:pPr>
        <w:pStyle w:val="Heading2"/>
      </w:pPr>
      <w:r>
        <w:t xml:space="preserve">6.2 Frequency Assignment Rationale</w:t>
      </w:r>
    </w:p>
    <w:p>
      <w:pPr>
        <w:spacing w:after="200"/>
      </w:pPr>
      <w:r>
        <w:rPr>
          <w:rFonts w:ascii="Arial" w:cs="Arial" w:eastAsia="Arial" w:hAnsi="Arial"/>
          <w:sz w:val="22"/>
          <w:szCs w:val="22"/>
        </w:rPr>
        <w:t xml:space="preserve">All LLM-related processing is assigned to the slow loop to ensure it never interferes with real-time sensorimotor processing on the fast loop. Within the slow loop, the epoch assignment creates a natural pipeline: LLMFallbackNeuron (epoch 1) evaluates availability before LLMKnowledgeNeuron (epoch 2) dispatches queries, and LLMVerificationNeuron (epoch 3) validates responses after they arrive. This ordering is critical: the fallback check must precede the query dispatch, and verification must follow the response.</w:t>
      </w:r>
    </w:p>
    <w:p>
      <w:pPr>
        <w:pStyle w:val="Heading2"/>
      </w:pPr>
      <w:r>
        <w:t xml:space="preserve">6.3 Harm Discriminator Interaction</w:t>
      </w:r>
    </w:p>
    <w:p>
      <w:pPr>
        <w:spacing w:after="200"/>
      </w:pPr>
      <w:r>
        <w:rPr>
          <w:rFonts w:ascii="Arial" w:cs="Arial" w:eastAsia="Arial" w:hAnsi="Arial"/>
          <w:sz w:val="22"/>
          <w:szCs w:val="22"/>
        </w:rPr>
        <w:t xml:space="preserve">LLM-sourced information receives no special treatment from the harm discriminator. Once information enters WorkingMemoryNeuron, it is indistinguishable from internally-generated knowledge in terms of harm evaluation. However, the EthicalPriorityNeuron’s hard constraints include a rule preventing any signal from modifying the harm discriminator’s weights or thresholds. This prevents a scenario where an LLM response could indirectly weaken safety constraints by providing information that causes the system to “learn” reduced caution.</w:t>
      </w:r>
    </w:p>
    <w:p>
      <w:pPr>
        <w:pStyle w:val="Heading1"/>
      </w:pPr>
      <w:r>
        <w:t xml:space="preserve">7. Java Implementation Details</w:t>
      </w:r>
    </w:p>
    <w:p>
      <w:pPr>
        <w:spacing w:after="200"/>
      </w:pPr>
      <w:r>
        <w:rPr>
          <w:rFonts w:ascii="Arial" w:cs="Arial" w:eastAsia="Arial" w:hAnsi="Arial"/>
          <w:sz w:val="22"/>
          <w:szCs w:val="22"/>
        </w:rPr>
        <w:t xml:space="preserve">The LLM integration extends jneopallium’s existing Java architecture without modifying core interfaces. The ILLMCapable interface extends INeuron, so LLMKnowledgeNeuron participates in the standard processing pipeline. The asynchronous LLM call uses Java’s CompletableFuture to avoid blocking the processing thread. The HTTP client is configurable—compatible with OpenAI API, Anthropic API, local Ollama instances, or any REST-compatible LLM endpoint. For cluster mode (gRPC), the LLM client also supports gRPC streaming for lower-latency communication with self-hosted models.</w:t>
      </w:r>
    </w:p>
    <w:p>
      <w:pPr>
        <w:spacing w:after="200"/>
      </w:pPr>
      <w:r>
        <w:rPr>
          <w:rFonts w:ascii="Arial" w:cs="Arial" w:eastAsia="Arial" w:hAnsi="Arial"/>
          <w:sz w:val="22"/>
          <w:szCs w:val="22"/>
        </w:rPr>
        <w:t xml:space="preserve">Configuration is handled through the existing jneopallium configuration file with a new llm section specifying: endpoint URL, API key (optional, for cloud-hosted models), maximum latency threshold, cache TTL, circuit breaker thresholds (consecutive failures before OPEN, probe interval for HALF_OPEN), and model identifier.</w:t>
      </w:r>
    </w:p>
    <w:p>
      <w:pPr>
        <w:pStyle w:val="Heading1"/>
      </w:pPr>
      <w:r>
        <w:t xml:space="preserve">8. Operational Modes</w:t>
      </w:r>
    </w:p>
    <w:p>
      <w:pPr>
        <w:spacing w:after="200"/>
      </w:pPr>
      <w:r>
        <w:rPr>
          <w:rFonts w:ascii="Arial" w:cs="Arial" w:eastAsia="Arial" w:hAnsi="Arial"/>
          <w:sz w:val="22"/>
          <w:szCs w:val="22"/>
        </w:rPr>
        <w:t xml:space="preserve">The LLM integration supports three operational modes that map to jneopallium’s existing deployment architecture:</w:t>
      </w:r>
    </w:p>
    <w:p>
      <w:pPr>
        <w:pStyle w:val="ListParagraph"/>
        <w:numPr>
          <w:ilvl w:val="0"/>
          <w:numId w:val="3"/>
        </w:numPr>
        <w:spacing w:after="80"/>
      </w:pPr>
      <w:r>
        <w:rPr>
          <w:rFonts w:ascii="Arial" w:cs="Arial" w:eastAsia="Arial" w:hAnsi="Arial"/>
          <w:b/>
          <w:bCs/>
          <w:sz w:val="22"/>
          <w:szCs w:val="22"/>
        </w:rPr>
        <w:t xml:space="preserve">Local mode: </w:t>
      </w:r>
      <w:r>
        <w:rPr>
          <w:rFonts w:ascii="Arial" w:cs="Arial" w:eastAsia="Arial" w:hAnsi="Arial"/>
          <w:sz w:val="22"/>
          <w:szCs w:val="22"/>
        </w:rPr>
        <w:t xml:space="preserve">LLMKnowledgeNeuron connects to a local Ollama instance or similar local inference server. Lowest latency, but limited model capability. Suitable for embedded robotics.</w:t>
      </w:r>
    </w:p>
    <w:p>
      <w:pPr>
        <w:pStyle w:val="ListParagraph"/>
        <w:numPr>
          <w:ilvl w:val="0"/>
          <w:numId w:val="3"/>
        </w:numPr>
        <w:spacing w:after="80"/>
      </w:pPr>
      <w:r>
        <w:rPr>
          <w:rFonts w:ascii="Arial" w:cs="Arial" w:eastAsia="Arial" w:hAnsi="Arial"/>
          <w:b/>
          <w:bCs/>
          <w:sz w:val="22"/>
          <w:szCs w:val="22"/>
        </w:rPr>
        <w:t xml:space="preserve">Cloud mode: </w:t>
      </w:r>
      <w:r>
        <w:rPr>
          <w:rFonts w:ascii="Arial" w:cs="Arial" w:eastAsia="Arial" w:hAnsi="Arial"/>
          <w:sz w:val="22"/>
          <w:szCs w:val="22"/>
        </w:rPr>
        <w:t xml:space="preserve">LLMKnowledgeNeuron connects to a cloud API (OpenAI, Anthropic, etc.). Higher capability models, but higher latency and availability uncertainty. Circuit breaker is critical in this mode.</w:t>
      </w:r>
    </w:p>
    <w:p>
      <w:pPr>
        <w:pStyle w:val="ListParagraph"/>
        <w:numPr>
          <w:ilvl w:val="0"/>
          <w:numId w:val="3"/>
        </w:numPr>
        <w:spacing w:after="200"/>
      </w:pPr>
      <w:r>
        <w:rPr>
          <w:rFonts w:ascii="Arial" w:cs="Arial" w:eastAsia="Arial" w:hAnsi="Arial"/>
          <w:b/>
          <w:bCs/>
          <w:sz w:val="22"/>
          <w:szCs w:val="22"/>
        </w:rPr>
        <w:t xml:space="preserve">Disabled mode: </w:t>
      </w:r>
      <w:r>
        <w:rPr>
          <w:rFonts w:ascii="Arial" w:cs="Arial" w:eastAsia="Arial" w:hAnsi="Arial"/>
          <w:sz w:val="22"/>
          <w:szCs w:val="22"/>
        </w:rPr>
        <w:t xml:space="preserve">LLM integration is completely disabled in configuration. LLMKnowledgeNeuron is not instantiated. The system operates purely on internal knowledge. This is the default mode—LLM integration must be explicitly enabled.</w:t>
      </w:r>
    </w:p>
    <w:p>
      <w:pPr>
        <w:pStyle w:val="Heading1"/>
      </w:pPr>
      <w:r>
        <w:t xml:space="preserve">9. Application Scenarios</w:t>
      </w:r>
    </w:p>
    <w:p>
      <w:pPr>
        <w:spacing w:after="200"/>
      </w:pPr>
      <w:r>
        <w:rPr>
          <w:rFonts w:ascii="Arial" w:cs="Arial" w:eastAsia="Arial" w:hAnsi="Arial"/>
          <w:sz w:val="22"/>
          <w:szCs w:val="22"/>
        </w:rPr>
        <w:t xml:space="preserve">The LLM knowledge base integration is particularly valuable in four scenarios. First, autonomous mission control where connection latency is high—the LLM can be queried during planning phases to supplement domain-specific knowledge about environmental conditions, equipment specifications, or operational procedures that are not encoded in the trained model. Second, robotics in novel environments—when a robot encounters objects or situations not present in its training data, the LLM can provide contextual information to aid classification and action planning. Third, company management decision support—the LLM can supply market data, regulatory information, and best-practice knowledge to complement the system’s operational metrics. Fourth, natural neuron network research—the LLM can provide literature context and known neurological patterns to assist model validation.</w:t>
      </w:r>
    </w:p>
    <w:p>
      <w:pPr>
        <w:pStyle w:val="Heading1"/>
      </w:pPr>
      <w:r>
        <w:t xml:space="preserve">10. Limitations and Future Work</w:t>
      </w:r>
    </w:p>
    <w:p>
      <w:pPr>
        <w:spacing w:after="200"/>
      </w:pPr>
      <w:r>
        <w:rPr>
          <w:rFonts w:ascii="Arial" w:cs="Arial" w:eastAsia="Arial" w:hAnsi="Arial"/>
          <w:sz w:val="22"/>
          <w:szCs w:val="22"/>
        </w:rPr>
        <w:t xml:space="preserve">Current limitations include: the verification mechanism relies on the system’s internal model quality—if the internal model itself is flawed, verification may reject correct LLM information. The cosine-similarity relevance scoring requires embedding computation, which adds processing overhead. Cache invalidation is time-based rather than content-aware. Future work includes developing a multi-LLM consensus mechanism where queries are dispatched to multiple LLM providers and responses are compared for agreement, implementing semantic caching that groups similar queries, and exploring RAG (Retrieval-Augmented Generation) patterns where the LLM is provided with structured context from the system’s LongTermMemoryNeuron.</w:t>
      </w:r>
    </w:p>
    <w:p>
      <w:pPr>
        <w:pStyle w:val="Heading1"/>
      </w:pPr>
      <w:r>
        <w:t xml:space="preserve">11. Conclusion</w:t>
      </w:r>
    </w:p>
    <w:p>
      <w:pPr>
        <w:spacing w:after="200"/>
      </w:pPr>
      <w:r>
        <w:rPr>
          <w:rFonts w:ascii="Arial" w:cs="Arial" w:eastAsia="Arial" w:hAnsi="Arial"/>
          <w:sz w:val="22"/>
          <w:szCs w:val="22"/>
        </w:rPr>
        <w:t xml:space="preserve">This article has presented a principled approach to integrating LLMs into the jneopallium framework as an optional, non-blocking external knowledge base. The design respects the framework’s biological inspiration by treating the LLM analogously to an external sensory input that requires validation before influencing behavior—much as biological organisms cross-reference novel information against existing mental models. The architecture ensures that the autonomous AI system remains fully functional without LLM access, treats LLM responses as untrusted advisory input, verifies applicability to the current situation before use, and routes all LLM-influenced decisions through the existing harm discriminator. The implementation extends jneopallium’s Java interface architecture without modifying core abstractions, maintaining backward compatibility with existing neuron network models.</w:t>
      </w:r>
    </w:p>
    <w:p>
      <w:pPr>
        <w:pStyle w:val="Heading1"/>
      </w:pPr>
      <w:r>
        <w:t xml:space="preserve">References</w:t>
      </w:r>
    </w:p>
    <w:p>
      <w:pPr>
        <w:spacing w:after="80"/>
      </w:pPr>
      <w:r>
        <w:rPr>
          <w:rFonts w:ascii="Arial" w:cs="Arial" w:eastAsia="Arial" w:hAnsi="Arial"/>
          <w:sz w:val="20"/>
          <w:szCs w:val="20"/>
        </w:rPr>
        <w:t xml:space="preserve">[1] Rakovskyi D. (2024). “Framework for Natural Neuron Network Modeling: The Jneopallium Approach.” IJSR, Vol. 13 Issue 7. DOI: 10.21275/SR24703042047</w:t>
      </w:r>
    </w:p>
    <w:p>
      <w:pPr>
        <w:spacing w:after="80"/>
      </w:pPr>
      <w:r>
        <w:rPr>
          <w:rFonts w:ascii="Arial" w:cs="Arial" w:eastAsia="Arial" w:hAnsi="Arial"/>
          <w:sz w:val="20"/>
          <w:szCs w:val="20"/>
        </w:rPr>
        <w:t xml:space="preserve">[2] Rakovskyi D. (2024). “Biologically-Inspired Autonomous AI Architecture.” Jneopallium Framework Documentation.</w:t>
      </w:r>
    </w:p>
    <w:p>
      <w:pPr>
        <w:spacing w:after="80"/>
      </w:pPr>
      <w:hyperlink w:history="1" r:id="rIducqngwhnhivgvopim9zal">
        <w:r>
          <w:rPr>
            <w:rStyle w:val="Hyperlink"/>
            <w:rFonts w:ascii="Arial" w:cs="Arial" w:eastAsia="Arial" w:hAnsi="Arial"/>
            <w:sz w:val="20"/>
            <w:szCs w:val="20"/>
          </w:rPr>
          <w:t xml:space="preserve">[3] https://github.com/rakovpublic/jneopallium</w:t>
        </w:r>
      </w:hyperlink>
    </w:p>
    <w:p>
      <w:pPr>
        <w:spacing w:after="80"/>
      </w:pPr>
      <w:r>
        <w:rPr>
          <w:rFonts w:ascii="Arial" w:cs="Arial" w:eastAsia="Arial" w:hAnsi="Arial"/>
          <w:sz w:val="20"/>
          <w:szCs w:val="20"/>
        </w:rPr>
        <w:t xml:space="preserve">[4] Nygaard M., Prestes R. (2018). “Release It! Design and Deploy Production-Ready Software.” Pragmatic Bookshelf. ISBN 978-1680502398.</w:t>
      </w:r>
    </w:p>
    <w:p>
      <w:pPr>
        <w:spacing w:after="80"/>
      </w:pPr>
      <w:r>
        <w:rPr>
          <w:rFonts w:ascii="Arial" w:cs="Arial" w:eastAsia="Arial" w:hAnsi="Arial"/>
          <w:sz w:val="20"/>
          <w:szCs w:val="20"/>
        </w:rPr>
        <w:t xml:space="preserve">[5] Lewis P. et al. (2020). “Retrieval-Augmented Generation for Knowledge-Intensive NLP Tasks.” Advances in Neural Information Processing Systems, 33.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Jneopallium Framework — LLM Knowledge Base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579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B579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ucqngwhnhivgvopim9zal" Type="http://schemas.openxmlformats.org/officeDocument/2006/relationships/hyperlink" Target="https://github.com/rakovpublic/jneopalliu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2026-04-02T18:11:52.424Z</dcterms:created>
  <dcterms:modified xsi:type="dcterms:W3CDTF">2026-04-02T18:11:52.424Z</dcterms:modified>
</cp:coreProperties>
</file>

<file path=docProps/custom.xml><?xml version="1.0" encoding="utf-8"?>
<Properties xmlns="http://schemas.openxmlformats.org/officeDocument/2006/custom-properties" xmlns:vt="http://schemas.openxmlformats.org/officeDocument/2006/docPropsVTypes"/>
</file>