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AD-FRAUD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ARCHITECTURE ARTICLE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Stop Paying for Traffic That Never Happened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Multi-label invalid-traffic detection — complete architecture, explained for everyone</w:t>
      </w:r>
    </w:p>
    <w:p>
      <w:pPr>
        <w:pBdr>
          <w:bottom w:val="single" w:sz="10" w:space="4" w:color="1C5D99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How a brain-inspired engine reads every ad event across many timescales, names the exact kind of invalid traffic, shows its evidence, and recommends an action — without ever silently blocking a publisher or withholding a payout. Written so a non-specialist can follow every step.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Document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Architecture &amp; Technical Overview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Product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Ad-Fraud Guardian (advertising-fraud module)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Model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advertising-fraud 1.0.0 · macro-F1 ≈ 0.97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Safety mode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/ SHADOW (recommend-only)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Author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Dmytro Rakovskyi — Kharkiv, Ukraine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Date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June 2026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Audience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Marketers, ad-ops, anti-fraud teams, engineers, newcomers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License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02A54"/>
          <w:sz w:val="34"/>
        </w:rPr>
        <w:t>What's inside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Executive summary — the one-page version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The problem: where the ad budget leaks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The big idea: name the fraud, show the evidence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The platform underneath: the Jneopallium framework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Architecture overview: the eight-layer network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What it sees: the canonical ad event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The ten fraud families it scores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Signals on many clocks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From raw event to verdict: the evidence pipeline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The trained model and the deployable network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Safety and privacy by design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How good is it? (and how honest)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Where it fits in your stack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14.  </w:t>
      </w:r>
      <w:r>
        <w:rPr>
          <w:rFonts w:ascii="Calibri" w:hAnsi="Calibri"/>
          <w:color w:val="141B2E"/>
          <w:sz w:val="21"/>
        </w:rPr>
        <w:t>Glossary for non-specialists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Executive summary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 large share of digital advertising is paid for, but never seen by a real interested human. Bots click ads, click farms manufacture installs, fraudsters hijack the credit for conversions that would have happened anyway, and "made-for-advertising" inventory soaks up budget. Industry estimates put the global loss in the </w:t>
      </w:r>
      <w:r>
        <w:rPr>
          <w:rFonts w:ascii="Calibri" w:hAnsi="Calibri"/>
          <w:b/>
          <w:i w:val="0"/>
          <w:color w:val="141B2E"/>
          <w:sz w:val="21"/>
        </w:rPr>
        <w:t>tens of billions of dollars a year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</w:t>
      </w:r>
      <w:r>
        <w:rPr>
          <w:rFonts w:ascii="Calibri" w:hAnsi="Calibri"/>
          <w:b/>
          <w:i w:val="0"/>
          <w:color w:val="141B2E"/>
          <w:sz w:val="21"/>
        </w:rPr>
        <w:t>Jneopallium Ad-Fraud Guardian</w:t>
      </w:r>
      <w:r>
        <w:rPr>
          <w:rFonts w:ascii="Calibri" w:hAnsi="Calibri"/>
          <w:i w:val="0"/>
          <w:color w:val="141B2E"/>
          <w:sz w:val="21"/>
        </w:rPr>
        <w:t xml:space="preserve"> scores every advertising event — a bid, an impression, a click, an install, a postback — and answers three questions a single "fraud score" cannot: </w:t>
      </w:r>
      <w:r>
        <w:rPr>
          <w:rFonts w:ascii="Calibri" w:hAnsi="Calibri"/>
          <w:b/>
          <w:i w:val="0"/>
          <w:color w:val="141B2E"/>
          <w:sz w:val="21"/>
        </w:rPr>
        <w:t>which</w:t>
      </w:r>
      <w:r>
        <w:rPr>
          <w:rFonts w:ascii="Calibri" w:hAnsi="Calibri"/>
          <w:i w:val="0"/>
          <w:color w:val="141B2E"/>
          <w:sz w:val="21"/>
        </w:rPr>
        <w:t xml:space="preserve"> kind of invalid traffic this is, </w:t>
      </w:r>
      <w:r>
        <w:rPr>
          <w:rFonts w:ascii="Calibri" w:hAnsi="Calibri"/>
          <w:b/>
          <w:i w:val="0"/>
          <w:color w:val="141B2E"/>
          <w:sz w:val="21"/>
        </w:rPr>
        <w:t>why</w:t>
      </w:r>
      <w:r>
        <w:rPr>
          <w:rFonts w:ascii="Calibri" w:hAnsi="Calibri"/>
          <w:i w:val="0"/>
          <w:color w:val="141B2E"/>
          <w:sz w:val="21"/>
        </w:rPr>
        <w:t xml:space="preserve"> (the evidence), and </w:t>
      </w:r>
      <w:r>
        <w:rPr>
          <w:rFonts w:ascii="Calibri" w:hAnsi="Calibri"/>
          <w:b/>
          <w:i w:val="0"/>
          <w:color w:val="141B2E"/>
          <w:sz w:val="21"/>
        </w:rPr>
        <w:t>what to do</w:t>
      </w:r>
      <w:r>
        <w:rPr>
          <w:rFonts w:ascii="Calibri" w:hAnsi="Calibri"/>
          <w:i w:val="0"/>
          <w:color w:val="141B2E"/>
          <w:sz w:val="21"/>
        </w:rPr>
        <w:t xml:space="preserve"> (a proportionate, candidate action). It is </w:t>
      </w:r>
      <w:r>
        <w:rPr>
          <w:rFonts w:ascii="Calibri" w:hAnsi="Calibri"/>
          <w:b/>
          <w:i w:val="0"/>
          <w:color w:val="141B2E"/>
          <w:sz w:val="21"/>
        </w:rPr>
        <w:t>multi-label</w:t>
      </w:r>
      <w:r>
        <w:rPr>
          <w:rFonts w:ascii="Calibri" w:hAnsi="Calibri"/>
          <w:i w:val="0"/>
          <w:color w:val="141B2E"/>
          <w:sz w:val="21"/>
        </w:rPr>
        <w:t>: one event can be flagged as several things at once, each with its own calibrated probability.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The one sentence to remember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It does not output a vague "risk %." It says "this looks like click injection and attribution hijack, here is the evidence, recommend HOLD_PAYOUT for review" — and it never executes that action on its own.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Crucially, it runs </w:t>
      </w:r>
      <w:r>
        <w:rPr>
          <w:rFonts w:ascii="Calibri" w:hAnsi="Calibri"/>
          <w:b/>
          <w:i w:val="0"/>
          <w:color w:val="141B2E"/>
          <w:sz w:val="21"/>
        </w:rPr>
        <w:t>advisory-first</w:t>
      </w:r>
      <w:r>
        <w:rPr>
          <w:rFonts w:ascii="Calibri" w:hAnsi="Calibri"/>
          <w:i w:val="0"/>
          <w:color w:val="141B2E"/>
          <w:sz w:val="21"/>
        </w:rPr>
        <w:t xml:space="preserve"> (SHADOW then ADVISORY): it recommends, it never auto-blocks a publisher, withholds a payout, or accuses a person. It is private by design — identifiers are hashed before training, and raw IPs, precise location, and user-agent strings are never exported. That makes it safe to run next to your existing measurement and billing.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The problem: where the ad budget leaks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A single "fraud / not-fraud" verdict is not enough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Invalid traffic is not one thing. It is a family of very different behaviours, each needing a different response and a different owner: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Bots</w:t>
      </w:r>
      <w:r>
        <w:rPr>
          <w:rFonts w:ascii="Calibri" w:hAnsi="Calibri"/>
          <w:i w:val="0"/>
          <w:color w:val="141B2E"/>
          <w:sz w:val="21"/>
        </w:rPr>
        <w:t xml:space="preserve"> — automated clicks and views with no human behind them.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Click farms &amp; incentivized installs</w:t>
      </w:r>
      <w:r>
        <w:rPr>
          <w:rFonts w:ascii="Calibri" w:hAnsi="Calibri"/>
          <w:i w:val="0"/>
          <w:color w:val="141B2E"/>
          <w:sz w:val="21"/>
        </w:rPr>
        <w:t xml:space="preserve"> — real but motivated humans paid to click or install, who never become real customers.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Attribution fraud</w:t>
      </w:r>
      <w:r>
        <w:rPr>
          <w:rFonts w:ascii="Calibri" w:hAnsi="Calibri"/>
          <w:i w:val="0"/>
          <w:color w:val="141B2E"/>
          <w:sz w:val="21"/>
        </w:rPr>
        <w:t xml:space="preserve"> — click spam and click injection that steal the *credit* for a conversion that would have happened anyway, so the wrong partner gets paid.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Event spoofing</w:t>
      </w:r>
      <w:r>
        <w:rPr>
          <w:rFonts w:ascii="Calibri" w:hAnsi="Calibri"/>
          <w:i w:val="0"/>
          <w:color w:val="141B2E"/>
          <w:sz w:val="21"/>
        </w:rPr>
        <w:t xml:space="preserve"> — forged or replayed impressions, clicks, and postbacks.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Inventory / supply-path spoofing</w:t>
      </w:r>
      <w:r>
        <w:rPr>
          <w:rFonts w:ascii="Calibri" w:hAnsi="Calibri"/>
          <w:i w:val="0"/>
          <w:color w:val="141B2E"/>
          <w:sz w:val="21"/>
        </w:rPr>
        <w:t xml:space="preserve"> — a publisher pretending to be premium inventory it is not (ads.txt / sellers.json mismatches).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 tool that returns one number — "73% fraud" — cannot tell an analyst whether to withhold a payout (attribution fraud), discount the traffic (low value), rate-limit a source (bots), or do nothing (a genuine accidental click). The expensive mistakes come from treating all of these as the same thing.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Why this is hard, honestly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evidence for these families lives on </w:t>
      </w:r>
      <w:r>
        <w:rPr>
          <w:rFonts w:ascii="Calibri" w:hAnsi="Calibri"/>
          <w:b/>
          <w:i w:val="0"/>
          <w:color w:val="141B2E"/>
          <w:sz w:val="21"/>
        </w:rPr>
        <w:t>different timescales</w:t>
      </w:r>
      <w:r>
        <w:rPr>
          <w:rFonts w:ascii="Calibri" w:hAnsi="Calibri"/>
          <w:i w:val="0"/>
          <w:color w:val="141B2E"/>
          <w:sz w:val="21"/>
        </w:rPr>
        <w:t>: a forged signature is instant, a click-injection timing anomaly is per-session, a click-farm pattern emerges over minutes, and the truth about *quality* — did the install ever become a retained, paying user? — only arrives days later as retention, refund, and chargeback data. No single fast threshold can see across all of that.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The big idea: name the fraud, show the evidence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Guardian borrows its shape from the brain: many specialised "neurons" running at different clock speeds, each producing one kind of evidence, feeding a final correlator that fuses everything into named, calibrated verdicts. Three design choices make it commercially credible: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Multi-label, not one score.</w:t>
      </w:r>
      <w:r>
        <w:rPr>
          <w:rFonts w:ascii="Calibri" w:hAnsi="Calibri"/>
          <w:i w:val="0"/>
          <w:color w:val="141B2E"/>
          <w:sz w:val="21"/>
        </w:rPr>
        <w:t xml:space="preserve"> Ten independent fraud labels, each with its own calibrated probability, so the right action attaches to the right problem.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Evidence-first.</w:t>
      </w:r>
      <w:r>
        <w:rPr>
          <w:rFonts w:ascii="Calibri" w:hAnsi="Calibri"/>
          <w:i w:val="0"/>
          <w:color w:val="141B2E"/>
          <w:sz w:val="21"/>
        </w:rPr>
        <w:t xml:space="preserve"> Every verdict carries the contributing signals and a human-readable reason, so an analyst — or an auditor, or a publisher appeal — can see *why*.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Advisory by construction.</w:t>
      </w:r>
      <w:r>
        <w:rPr>
          <w:rFonts w:ascii="Calibri" w:hAnsi="Calibri"/>
          <w:i w:val="0"/>
          <w:color w:val="141B2E"/>
          <w:sz w:val="21"/>
        </w:rPr>
        <w:t xml:space="preserve"> It produces *candidate* actions only. Withholding money or blocking a partner requires first-party validation, legal review, and an appeal path — never the model alone.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Why advisory-first is the selling point, not a limitation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Wrongly withholding a legitimate publisher's payout is a lawsuit and a broken partnership. A system that recommends and explains — and lets a human pull the trigger — is the only kind a network can actually deploy at scale.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The platform underneath: the Jneopallium framework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Guardian is one application of </w:t>
      </w:r>
      <w:r>
        <w:rPr>
          <w:rFonts w:ascii="Calibri" w:hAnsi="Calibri"/>
          <w:b/>
          <w:i w:val="0"/>
          <w:color w:val="141B2E"/>
          <w:sz w:val="21"/>
        </w:rPr>
        <w:t>Jneopallium</w:t>
      </w:r>
      <w:r>
        <w:rPr>
          <w:rFonts w:ascii="Calibri" w:hAnsi="Calibri"/>
          <w:i w:val="0"/>
          <w:color w:val="141B2E"/>
          <w:sz w:val="21"/>
        </w:rPr>
        <w:t>, a Java framework for biologically-grounded neuron networks (published in the *International Journal of Science and Research*, 2024). Three of its ideas explain why it suits this job.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1. Typed signals — meaning, not just numbers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 bid, a click, a postback, and a refund are *different kinds of signal* with different meaning and urgency. The engine routes each to the right specialist and preserves the evidence all the way to the verdict — which is what lets every advisory carry a reason.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2. Many clocks — instant checks, slow truth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Jneopallium processes fast signals every tick and slower context every N ticks. Integrity checks fire instantly; behavioural aggregation is slower; the delayed truth about traffic quality (retention, refunds, chargebacks) arrives slowest of all. One neuron can weigh an instant signature failure against a multi-day quality outcome in a single coherent judgement.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3. Single-purpose, swappable neurons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Each neuron does one job and can be upgraded or replaced for a particular deployment without touching the rest. Capacity is added by adding </w:t>
      </w:r>
      <w:r>
        <w:rPr>
          <w:rFonts w:ascii="Calibri" w:hAnsi="Calibri"/>
          <w:b/>
          <w:i w:val="0"/>
          <w:color w:val="141B2E"/>
          <w:sz w:val="21"/>
        </w:rPr>
        <w:t>layers and neurons</w:t>
      </w:r>
      <w:r>
        <w:rPr>
          <w:rFonts w:ascii="Calibri" w:hAnsi="Calibri"/>
          <w:i w:val="0"/>
          <w:color w:val="141B2E"/>
          <w:sz w:val="21"/>
        </w:rPr>
        <w:t>, not by stuffing logic into one place — which is exactly how this model was recently extended (see Section 10).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Architecture overview: the eight-layer network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Events flow one way through increasingly intelligent layers; an explainable advisory flows out the other end. The deployable network is </w:t>
      </w:r>
      <w:r>
        <w:rPr>
          <w:rFonts w:ascii="Calibri" w:hAnsi="Calibri"/>
          <w:b/>
          <w:i w:val="0"/>
          <w:color w:val="141B2E"/>
          <w:sz w:val="21"/>
        </w:rPr>
        <w:t>8 layers of 22 neurons over 21 features</w:t>
      </w:r>
      <w:r>
        <w:rPr>
          <w:rFonts w:ascii="Calibri" w:hAnsi="Calibri"/>
          <w:i w:val="0"/>
          <w:color w:val="141B2E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302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00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576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Job, in plain language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 — Input</w:t>
            </w:r>
          </w:p>
        </w:tc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57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Receive multi-source ad events (bids, impressions, clicks, postbacks…)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— Event integrity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57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Signature/replay/clock integrity, human-interaction, session order, attribution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— Entity / graph / quality</w:t>
            </w:r>
          </w:p>
        </w:tc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</w:t>
            </w:r>
          </w:p>
        </w:tc>
        <w:tc>
          <w:tcPr>
            <w:tcW w:type="dxa" w:w="57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Publisher baselines, click-farm graph fanout, delayed traffic quality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 — Behavioural evidence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57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Family-specific evidence that separates the look-alike fraud types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 — Feature interaction</w:t>
            </w:r>
          </w:p>
        </w:tc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8</w:t>
            </w:r>
          </w:p>
        </w:tc>
        <w:tc>
          <w:tcPr>
            <w:tcW w:type="dxa" w:w="57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Non-linear combinations of the evidence (one neuron per unit)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5 — Trained correlation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</w:t>
            </w:r>
          </w:p>
        </w:tc>
        <w:tc>
          <w:tcPr>
            <w:tcW w:type="dxa" w:w="57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Fuses everything into ten calibrated label probabilities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6 — Response gate</w:t>
            </w:r>
          </w:p>
        </w:tc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</w:t>
            </w:r>
          </w:p>
        </w:tc>
        <w:tc>
          <w:tcPr>
            <w:tcW w:type="dxa" w:w="57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Maps probabilities to a proportionate candidate action (advisory)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7 — Result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</w:t>
            </w:r>
          </w:p>
        </w:tc>
        <w:tc>
          <w:tcPr>
            <w:tcW w:type="dxa" w:w="57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Emit the auditable decision: labels, evidence, reason, action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What it sees: the canonical ad event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Everything is normalised into one versioned </w:t>
      </w:r>
      <w:r>
        <w:rPr>
          <w:rFonts w:ascii="Calibri" w:hAnsi="Calibri"/>
          <w:b/>
          <w:i w:val="0"/>
          <w:color w:val="141B2E"/>
          <w:sz w:val="21"/>
        </w:rPr>
        <w:t>canonical event</w:t>
      </w:r>
      <w:r>
        <w:rPr>
          <w:rFonts w:ascii="Calibri" w:hAnsi="Calibri"/>
          <w:i w:val="0"/>
          <w:color w:val="141B2E"/>
          <w:sz w:val="21"/>
        </w:rPr>
        <w:t xml:space="preserve"> that keeps both event time and ingestion time, and supports fifteen event types across the full funnel: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BID_REQUEST · IMPRESSION · VIEWABLE_IMPRESSION · CLICK · LANDING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INTERACTION · INSTALL · REGISTRATION · PURCHASE · POSTBACK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REFUND · CHARGEBACK · UNINSTALL · RETENTION · PAYOUT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Each event carries integrity fields (signatures, nonces, attestation), behavioural evidence (dwell, pointer dynamics, session counts), supply-chain context (ads.txt / sellers.json), and </w:t>
      </w:r>
      <w:r>
        <w:rPr>
          <w:rFonts w:ascii="Calibri" w:hAnsi="Calibri"/>
          <w:b/>
          <w:i w:val="0"/>
          <w:color w:val="141B2E"/>
          <w:sz w:val="21"/>
        </w:rPr>
        <w:t>delayed quality outcomes</w:t>
      </w:r>
      <w:r>
        <w:rPr>
          <w:rFonts w:ascii="Calibri" w:hAnsi="Calibri"/>
          <w:i w:val="0"/>
          <w:color w:val="141B2E"/>
          <w:sz w:val="21"/>
        </w:rPr>
        <w:t xml:space="preserve"> (retention, refund, chargeback). Identifiers are pseudonymous: raw personal identifiers are HMAC-hashed before the model ever sees them, and a missing value is kept distinct from a zero-risk value.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The ten fraud families it scores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88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691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Plain-language meaning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bot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Automated, non-human clicks or views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incentivized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Real but motivated users paid to act; low downstream value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clickFarm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Coordinated human/device farms manufacturing engagement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eventSpoofing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Forged or replayed impressions / clicks / postbacks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clickSpam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Mass low-quality clicks claiming broad attribution credit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clickInjection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click fired at install time to steal attribution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attributionHijack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Taking credit for a conversion that would have happened anyway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inventorySpoofing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Publisher / supply-path misrepresentation (ads.txt / sellers.json)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accidentalOrLowValue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Genuine but accidental or low-value traffic — not malicious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unknownSuspicious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Anomalous traffic the model cannot yet name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Note </w:t>
      </w:r>
      <w:r>
        <w:rPr>
          <w:rFonts w:ascii="Consolas" w:hAnsi="Consolas"/>
          <w:color w:val="102A54"/>
          <w:sz w:val="20"/>
        </w:rPr>
        <w:t>accidentalOrLowValue</w:t>
      </w:r>
      <w:r>
        <w:rPr>
          <w:rFonts w:ascii="Calibri" w:hAnsi="Calibri"/>
          <w:i w:val="0"/>
          <w:color w:val="141B2E"/>
          <w:sz w:val="21"/>
        </w:rPr>
        <w:t xml:space="preserve"> and </w:t>
      </w:r>
      <w:r>
        <w:rPr>
          <w:rFonts w:ascii="Consolas" w:hAnsi="Consolas"/>
          <w:color w:val="102A54"/>
          <w:sz w:val="20"/>
        </w:rPr>
        <w:t>unknownSuspicious</w:t>
      </w:r>
      <w:r>
        <w:rPr>
          <w:rFonts w:ascii="Calibri" w:hAnsi="Calibri"/>
          <w:i w:val="0"/>
          <w:color w:val="141B2E"/>
          <w:sz w:val="21"/>
        </w:rPr>
        <w:t>: the model is built to say *"this is odd but not necessarily fraud"* rather than over-accuse. That distinction is what keeps it usable without burning publisher relationships.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Signals on many clocks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Each signal family declares how often it is processed — the "many clocks" idea made concrete. Fast deterministic evidence runs every tick; the truth about quality arrives slowest: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4176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Signal family</w:t>
            </w:r>
          </w:p>
        </w:tc>
        <w:tc>
          <w:tcPr>
            <w:tcW w:type="dxa" w:w="230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Cadence (loop / epoch)</w:t>
            </w:r>
          </w:p>
        </w:tc>
        <w:tc>
          <w:tcPr>
            <w:tcW w:type="dxa" w:w="3312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captures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Event integrity, bid, impression, click, postback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/ 1</w:t>
            </w:r>
          </w:p>
        </w:tc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Fast deterministic evidence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User-interaction aggregation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/ 2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Behavioural aggregation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Session sequence &amp; attribution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/ 5</w:t>
            </w:r>
          </w:p>
        </w:tc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Causal-chain checks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Entity baseline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1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Adaptive per-publisher baselines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Graph cluster update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3</w:t>
            </w:r>
          </w:p>
        </w:tc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Rolling click-farm fanout graph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Traffic quality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5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Delayed quality evidence</w:t>
            </w:r>
          </w:p>
        </w:tc>
      </w:tr>
      <w:tr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Retention / refund / billing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10</w:t>
            </w:r>
          </w:p>
        </w:tc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Slow delayed truth</w:t>
            </w:r>
          </w:p>
        </w:tc>
      </w:tr>
      <w:tr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Model drift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60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Monitoring cadence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physical duration of a tick is deployment configuration; these are the *semantic* scheduling cadences that let one model react instantly yet still incorporate evidence that only becomes available days later.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From raw event to verdict: the evidence pipeline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Walk one event through the network: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Integrity receptors (Layer 1)</w:t>
      </w:r>
      <w:r>
        <w:rPr>
          <w:rFonts w:ascii="Calibri" w:hAnsi="Calibri"/>
          <w:i w:val="0"/>
          <w:color w:val="141B2E"/>
          <w:sz w:val="21"/>
        </w:rPr>
        <w:t xml:space="preserve"> check the signature, nonce, client/server agreement, and session ordering, and produce fast risk evidence.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Entity, graph and quality (Layer 2)</w:t>
      </w:r>
      <w:r>
        <w:rPr>
          <w:rFonts w:ascii="Calibri" w:hAnsi="Calibri"/>
          <w:i w:val="0"/>
          <w:color w:val="141B2E"/>
          <w:sz w:val="21"/>
        </w:rPr>
        <w:t xml:space="preserve"> compare the event to per-publisher baselines, update a rolling device/account fanout graph, and fold in delayed retention/refund evidence.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Behavioural-evidence neurons (Layer 3)</w:t>
      </w:r>
      <w:r>
        <w:rPr>
          <w:rFonts w:ascii="Calibri" w:hAnsi="Calibri"/>
          <w:i w:val="0"/>
          <w:color w:val="141B2E"/>
          <w:sz w:val="21"/>
        </w:rPr>
        <w:t xml:space="preserve"> each emit one family-specific signal — click volume (spam), conversion timing (injection), incentive pattern (incentivized), low-value quality — which is what separates fraud types that otherwise look identical.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Feature-interaction neurons (Layer 4)</w:t>
      </w:r>
      <w:r>
        <w:rPr>
          <w:rFonts w:ascii="Calibri" w:hAnsi="Calibri"/>
          <w:i w:val="0"/>
          <w:color w:val="141B2E"/>
          <w:sz w:val="21"/>
        </w:rPr>
        <w:t xml:space="preserve"> form non-linear combinations of the evidence, so the final stage can express rules like "high attribution *and* low quality *and* high click rate."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5.  </w:t>
      </w:r>
      <w:r>
        <w:rPr>
          <w:rFonts w:ascii="Calibri" w:hAnsi="Calibri"/>
          <w:b/>
          <w:i w:val="0"/>
          <w:color w:val="141B2E"/>
          <w:sz w:val="21"/>
        </w:rPr>
        <w:t>The correlation neuron (Layer 5)</w:t>
      </w:r>
      <w:r>
        <w:rPr>
          <w:rFonts w:ascii="Calibri" w:hAnsi="Calibri"/>
          <w:i w:val="0"/>
          <w:color w:val="141B2E"/>
          <w:sz w:val="21"/>
        </w:rPr>
        <w:t xml:space="preserve"> fuses all of it into ten </w:t>
      </w:r>
      <w:r>
        <w:rPr>
          <w:rFonts w:ascii="Calibri" w:hAnsi="Calibri"/>
          <w:b/>
          <w:i w:val="0"/>
          <w:color w:val="141B2E"/>
          <w:sz w:val="21"/>
        </w:rPr>
        <w:t>calibrated</w:t>
      </w:r>
      <w:r>
        <w:rPr>
          <w:rFonts w:ascii="Calibri" w:hAnsi="Calibri"/>
          <w:i w:val="0"/>
          <w:color w:val="141B2E"/>
          <w:sz w:val="21"/>
        </w:rPr>
        <w:t xml:space="preserve"> probabilities — one per fraud label.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6.  </w:t>
      </w:r>
      <w:r>
        <w:rPr>
          <w:rFonts w:ascii="Calibri" w:hAnsi="Calibri"/>
          <w:b/>
          <w:i w:val="0"/>
          <w:color w:val="141B2E"/>
          <w:sz w:val="21"/>
        </w:rPr>
        <w:t>The response gate (Layer 6)</w:t>
      </w:r>
      <w:r>
        <w:rPr>
          <w:rFonts w:ascii="Calibri" w:hAnsi="Calibri"/>
          <w:i w:val="0"/>
          <w:color w:val="141B2E"/>
          <w:sz w:val="21"/>
        </w:rPr>
        <w:t xml:space="preserve"> maps those probabilities to a proportionate </w:t>
      </w:r>
      <w:r>
        <w:rPr>
          <w:rFonts w:ascii="Calibri" w:hAnsi="Calibri"/>
          <w:b/>
          <w:i w:val="0"/>
          <w:color w:val="141B2E"/>
          <w:sz w:val="21"/>
        </w:rPr>
        <w:t>candidate</w:t>
      </w:r>
      <w:r>
        <w:rPr>
          <w:rFonts w:ascii="Calibri" w:hAnsi="Calibri"/>
          <w:i w:val="0"/>
          <w:color w:val="141B2E"/>
          <w:sz w:val="21"/>
        </w:rPr>
        <w:t xml:space="preserve"> action, and the </w:t>
      </w:r>
      <w:r>
        <w:rPr>
          <w:rFonts w:ascii="Calibri" w:hAnsi="Calibri"/>
          <w:b/>
          <w:i w:val="0"/>
          <w:color w:val="141B2E"/>
          <w:sz w:val="21"/>
        </w:rPr>
        <w:t>result layer (Layer 7)</w:t>
      </w:r>
      <w:r>
        <w:rPr>
          <w:rFonts w:ascii="Calibri" w:hAnsi="Calibri"/>
          <w:i w:val="0"/>
          <w:color w:val="141B2E"/>
          <w:sz w:val="21"/>
        </w:rPr>
        <w:t xml:space="preserve"> emits the auditable decision with its evidence and reason.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Response bands → candidate actions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log (0.0–0.30) → ALLOW/LOG · review (0.30–0.60) → REVIEW · rate-limit candidate (0.60–0.75) · hold-payout candidate (0.75–0.90) · escalate-to-analyst (0.90–1.0). Every action is a *candidate*; none is executed automatically.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The trained model and the deployable network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Training does not stop at a set of weights — it emits the </w:t>
      </w:r>
      <w:r>
        <w:rPr>
          <w:rFonts w:ascii="Calibri" w:hAnsi="Calibri"/>
          <w:b/>
          <w:i w:val="0"/>
          <w:color w:val="141B2E"/>
          <w:sz w:val="21"/>
        </w:rPr>
        <w:t>actual deployable JNeopallium network</w:t>
      </w:r>
      <w:r>
        <w:rPr>
          <w:rFonts w:ascii="Calibri" w:hAnsi="Calibri"/>
          <w:i w:val="0"/>
          <w:color w:val="141B2E"/>
          <w:sz w:val="21"/>
        </w:rPr>
        <w:t>: the eight layer files plus a descriptor, with the trained, calibrated heads embedded and referencing concrete runtime classes. The current network reflects a recent, deliberate upgrade that lifted quality sharply (see the Test Report):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456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336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adds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21 features</w:t>
            </w:r>
          </w:p>
        </w:tc>
        <w:tc>
          <w:tcPr>
            <w:tcW w:type="dxa" w:w="63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8 base risks + 5 behavioural-evidence features + 8 non-linear interaction units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Behavioural-evidence layer</w:t>
            </w:r>
          </w:p>
        </w:tc>
        <w:tc>
          <w:tcPr>
            <w:tcW w:type="dxa" w:w="63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Single-purpose neurons that de-conflate look-alike fraud families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Feature-interaction layer</w:t>
            </w:r>
          </w:p>
        </w:tc>
        <w:tc>
          <w:tcPr>
            <w:tcW w:type="dxa" w:w="63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non-linear hidden layer (added as its own layer, one neuron per unit)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Fitted, calibrated heads</w:t>
            </w:r>
          </w:p>
        </w:tc>
        <w:tc>
          <w:tcPr>
            <w:tcW w:type="dxa" w:w="63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Class-weighted logistic heads with real per-label Platt calibration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Cost-aware thresholds</w:t>
            </w:r>
          </w:p>
        </w:tc>
        <w:tc>
          <w:tcPr>
            <w:tcW w:type="dxa" w:w="63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Operating points chosen by expected utility (false positives cost money)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Because the trained heads, calibration, and thresholds all travel inside the network files, </w:t>
      </w:r>
      <w:r>
        <w:rPr>
          <w:rFonts w:ascii="Calibri" w:hAnsi="Calibri"/>
          <w:b/>
          <w:i w:val="0"/>
          <w:color w:val="141B2E"/>
          <w:sz w:val="21"/>
        </w:rPr>
        <w:t>what was trained is exactly what runs</w:t>
      </w:r>
      <w:r>
        <w:rPr>
          <w:rFonts w:ascii="Calibri" w:hAnsi="Calibri"/>
          <w:i w:val="0"/>
          <w:color w:val="141B2E"/>
          <w:sz w:val="21"/>
        </w:rPr>
        <w:t xml:space="preserve"> — there is no translation step between the model and the deployed scorer.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Safety and privacy by design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Advisory / shadow by default.</w:t>
      </w:r>
      <w:r>
        <w:rPr>
          <w:rFonts w:ascii="Calibri" w:hAnsi="Calibri"/>
          <w:i w:val="0"/>
          <w:color w:val="141B2E"/>
          <w:sz w:val="21"/>
        </w:rPr>
        <w:t xml:space="preserve"> The response gate produces candidate actions only; automatic billing rejection, payout withholding, account blocking, or accusations are structurally disabled until a separate validation, legal-review, and appeal process exists.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No accusation of a person.</w:t>
      </w:r>
      <w:r>
        <w:rPr>
          <w:rFonts w:ascii="Calibri" w:hAnsi="Calibri"/>
          <w:i w:val="0"/>
          <w:color w:val="141B2E"/>
          <w:sz w:val="21"/>
        </w:rPr>
        <w:t xml:space="preserve"> The model emits invalid-traffic *evidence*; it never asserts that a named individual intentionally committed fraud.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Privacy-preserving.</w:t>
      </w:r>
      <w:r>
        <w:rPr>
          <w:rFonts w:ascii="Calibri" w:hAnsi="Calibri"/>
          <w:i w:val="0"/>
          <w:color w:val="141B2E"/>
          <w:sz w:val="21"/>
        </w:rPr>
        <w:t xml:space="preserve"> Device and account identifiers are pseudonymised (HMAC) before training; raw IPs, precise geolocation, and user-agent strings are never exported; a missing value is kept distinct from a zero-risk value.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C5D99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Leakage-safe evaluation.</w:t>
      </w:r>
      <w:r>
        <w:rPr>
          <w:rFonts w:ascii="Calibri" w:hAnsi="Calibri"/>
          <w:i w:val="0"/>
          <w:color w:val="141B2E"/>
          <w:sz w:val="21"/>
        </w:rPr>
        <w:t xml:space="preserve"> Data is split by scenario, campaign episode, and deterministic replicate block — never by random row — with an adversarial holdout, so reported quality is not inflated by near-duplicates.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How good is it? (and how honest)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On the bundled reference corpus the model reaches </w:t>
      </w:r>
      <w:r>
        <w:rPr>
          <w:rFonts w:ascii="Calibri" w:hAnsi="Calibri"/>
          <w:b/>
          <w:i w:val="0"/>
          <w:color w:val="141B2E"/>
          <w:sz w:val="21"/>
        </w:rPr>
        <w:t>macro-F1 ≈ 0.97</w:t>
      </w:r>
      <w:r>
        <w:rPr>
          <w:rFonts w:ascii="Calibri" w:hAnsi="Calibri"/>
          <w:i w:val="0"/>
          <w:color w:val="141B2E"/>
          <w:sz w:val="21"/>
        </w:rPr>
        <w:t xml:space="preserve"> across the ten labels, with most families at or near perfect separation and calibrated probabilities. A recent upgrade raised macro-F1 from </w:t>
      </w:r>
      <w:r>
        <w:rPr>
          <w:rFonts w:ascii="Calibri" w:hAnsi="Calibri"/>
          <w:b/>
          <w:i w:val="0"/>
          <w:color w:val="141B2E"/>
          <w:sz w:val="21"/>
        </w:rPr>
        <w:t>0.66 to 0.97</w:t>
      </w:r>
      <w:r>
        <w:rPr>
          <w:rFonts w:ascii="Calibri" w:hAnsi="Calibri"/>
          <w:i w:val="0"/>
          <w:color w:val="141B2E"/>
          <w:sz w:val="21"/>
        </w:rPr>
        <w:t xml:space="preserve"> by adding the behavioural-evidence and interaction layers and fixing calibration and thresholds.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Read this honestly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That score is on a deterministic simulator plus weak public-source metadata, evaluated leakage-safe. It proves the pipeline and the label separation — it is NOT a claim of real-world accuracy, which must be earned on first-party labelled production traffic. The model stays SHADOW/ADVISORY until then. The Test Report states this plainly.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Where it fits in your stack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Guardian sits *beside* your existing pipeline as an advisory scorer, not in the critical serving path: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ad server / SSP / DSP / MMP  -&gt; canonical ad events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-&gt; Ad-Fraud Guardian (scores every event, advisory)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-&gt; decisions: labels + evidence + candidate action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-&gt; your SIEM / data warehouse / billing review / analyst queue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It deploys local, as an HTTP scoring service, or distributed; it reads a Kafka-style event stream or a direct feed; and it runs in three deployment shapes (single process, HTTP cluster, gRPC) so it fits a pilot on a laptop and an enterprise event firehose alike. Because correlation is by event time, delayed and out-of-order events still land in the right place.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14  </w:t>
      </w:r>
      <w:r>
        <w:rPr>
          <w:rFonts w:ascii="Calibri" w:hAnsi="Calibri"/>
          <w:b/>
          <w:color w:val="102A54"/>
          <w:sz w:val="34"/>
        </w:rPr>
        <w:t>Glossary for non-specialists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02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76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Plain-language meaning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Invalid traffic (IVT)</w:t>
            </w:r>
          </w:p>
        </w:tc>
        <w:tc>
          <w:tcPr>
            <w:tcW w:type="dxa" w:w="67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 events with no genuine interested human behind them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Multi-label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One event can carry several independent fraud labels at once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Attribution</w:t>
            </w:r>
          </w:p>
        </w:tc>
        <w:tc>
          <w:tcPr>
            <w:tcW w:type="dxa" w:w="67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Deciding which click/partner gets credit (and payment) for a conversion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 injection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Firing a fake click at install time to steal that credit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Postback</w:t>
            </w:r>
          </w:p>
        </w:tc>
        <w:tc>
          <w:tcPr>
            <w:tcW w:type="dxa" w:w="67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server-to-server message confirming a conversion happened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ads.txt / sellers.json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Public files declaring who is authorised to sell an ad slot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Calibration</w:t>
            </w:r>
          </w:p>
        </w:tc>
        <w:tc>
          <w:tcPr>
            <w:tcW w:type="dxa" w:w="67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Making a 0.9 score really mean ~90% likely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/ shadow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system recommends; humans decide. It never blocks or withholds on its own</w:t>
            </w:r>
          </w:p>
        </w:tc>
      </w:tr>
      <w:tr>
        <w:tc>
          <w:tcPr>
            <w:tcW w:type="dxa" w:w="30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Pseudonymous / HMAC</w:t>
            </w:r>
          </w:p>
        </w:tc>
        <w:tc>
          <w:tcPr>
            <w:tcW w:type="dxa" w:w="67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Identifiers are hashed so the model never sees raw personal data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detection quality averaged equally across all ten fraud labels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Ad-Fraud Guardian · advertising-fraud module. Architecture article for technical and non-technical readers. Safety mode: ADVISORY / SHADOW. License: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Ad-Fraud Guardian · Multi-label invalid-traffic advisory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