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102A54"/>
            <w:tcMar>
              <w:top w:w="260" w:type="dxa"/>
              <w:bottom w:w="260" w:type="dxa"/>
              <w:start w:w="240" w:type="dxa"/>
              <w:end w:w="2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8FC2F0"/>
                <w:sz w:val="22"/>
              </w:rPr>
              <w:t>JNEOPALLIUM · AD-FRAUD GUARDIAN</w:t>
            </w:r>
          </w:p>
          <w:p>
            <w:pPr>
              <w:spacing w:after="40"/>
            </w:pPr>
            <w:r>
              <w:rPr>
                <w:rFonts w:ascii="Calibri" w:hAnsi="Calibri"/>
                <w:color w:val="B9C6DA"/>
                <w:sz w:val="18"/>
              </w:rPr>
              <w:t>DEPLOYMENT GUIDE</w:t>
            </w:r>
          </w:p>
        </w:tc>
      </w:tr>
    </w:tbl>
    <w:p>
      <w:pPr>
        <w:spacing w:after="0" w:before="0"/>
      </w:pPr>
      <w:r>
        <w:rPr>
          <w:sz w:val="40"/>
        </w:rPr>
      </w:r>
    </w:p>
    <w:p>
      <w:pPr>
        <w:spacing w:after="80"/>
      </w:pPr>
      <w:r>
        <w:rPr>
          <w:rFonts w:ascii="Calibri" w:hAnsi="Calibri"/>
          <w:b/>
          <w:color w:val="102A54"/>
          <w:sz w:val="60"/>
        </w:rPr>
        <w:t>Deployment Guide</w:t>
      </w:r>
    </w:p>
    <w:p>
      <w:pPr>
        <w:spacing w:after="200"/>
      </w:pPr>
      <w:r>
        <w:rPr>
          <w:rFonts w:ascii="Calibri" w:hAnsi="Calibri"/>
          <w:color w:val="1C5D99"/>
          <w:sz w:val="28"/>
        </w:rPr>
        <w:t>Run the trained invalid-traffic network as a shadow/advisory scoring service</w:t>
      </w:r>
    </w:p>
    <w:p>
      <w:pPr>
        <w:pBdr>
          <w:bottom w:val="single" w:sz="10" w:space="4" w:color="0E7C86"/>
        </w:pBdr>
      </w:pPr>
    </w:p>
    <w:p>
      <w:pPr>
        <w:spacing w:after="0" w:before="0"/>
      </w:pPr>
      <w:r>
        <w:rPr>
          <w:sz w:val="16"/>
        </w:rPr>
      </w:r>
    </w:p>
    <w:p>
      <w:pPr>
        <w:spacing w:after="120"/>
      </w:pPr>
      <w:r>
        <w:rPr>
          <w:rFonts w:ascii="Calibri" w:hAnsi="Calibri"/>
          <w:i/>
          <w:color w:val="555F70"/>
          <w:sz w:val="23"/>
        </w:rPr>
        <w:t>The deployment half of the pipeline: take the JNeopallium network the trainer produced, load it into the runtime scorer, expose it as an HTTP scoring service beside your ad stack, and run it as a continuous shadow-to-advisory invalid-traffic scorer that never blocks or withholds on its own.</w:t>
      </w:r>
    </w:p>
    <w:p>
      <w:pPr>
        <w:spacing w:after="0" w:before="0"/>
      </w:pPr>
      <w:r>
        <w:rPr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86"/>
        <w:gridCol w:w="4586"/>
      </w:tblGrid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Document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Production Deployment Guide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Product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Jneopallium Ad-Fraud Guardian (advertising-fraud module)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Consumes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The deployable network from the Training Guide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Safety mode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ADVISORY / SHADOW (recommend-only)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Interfaces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HTTP scoring service + embeddable runtime scorer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Author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Dmytro Rakovskyi — Kharkiv, Ukraine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Date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23 June 2026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License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BSD 3-Clause</w:t>
            </w:r>
          </w:p>
        </w:tc>
      </w:tr>
    </w:tbl>
    <w:p>
      <w:r>
        <w:br w:type="page"/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102A54"/>
          <w:sz w:val="34"/>
        </w:rPr>
        <w:t>Contents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1.  </w:t>
      </w:r>
      <w:r>
        <w:rPr>
          <w:rFonts w:ascii="Calibri" w:hAnsi="Calibri"/>
          <w:color w:val="141B2E"/>
          <w:sz w:val="21"/>
        </w:rPr>
        <w:t>What you will achieve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2.  </w:t>
      </w:r>
      <w:r>
        <w:rPr>
          <w:rFonts w:ascii="Calibri" w:hAnsi="Calibri"/>
          <w:color w:val="141B2E"/>
          <w:sz w:val="21"/>
        </w:rPr>
        <w:t>Prerequisites — the trained bundle and runtime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3.  </w:t>
      </w:r>
      <w:r>
        <w:rPr>
          <w:rFonts w:ascii="Calibri" w:hAnsi="Calibri"/>
          <w:color w:val="141B2E"/>
          <w:sz w:val="21"/>
        </w:rPr>
        <w:t>The runtime scorer and the model bundle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4.  </w:t>
      </w:r>
      <w:r>
        <w:rPr>
          <w:rFonts w:ascii="Calibri" w:hAnsi="Calibri"/>
          <w:color w:val="141B2E"/>
          <w:sz w:val="21"/>
        </w:rPr>
        <w:t>The deployable package (what training produced)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5.  </w:t>
      </w:r>
      <w:r>
        <w:rPr>
          <w:rFonts w:ascii="Calibri" w:hAnsi="Calibri"/>
          <w:color w:val="141B2E"/>
          <w:sz w:val="21"/>
        </w:rPr>
        <w:t>Option A — the HTTP scoring service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6.  </w:t>
      </w:r>
      <w:r>
        <w:rPr>
          <w:rFonts w:ascii="Calibri" w:hAnsi="Calibri"/>
          <w:color w:val="141B2E"/>
          <w:sz w:val="21"/>
        </w:rPr>
        <w:t>Option B — the embedded worker network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7.  </w:t>
      </w:r>
      <w:r>
        <w:rPr>
          <w:rFonts w:ascii="Calibri" w:hAnsi="Calibri"/>
          <w:color w:val="141B2E"/>
          <w:sz w:val="21"/>
        </w:rPr>
        <w:t>The advisory decision contract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8.  </w:t>
      </w:r>
      <w:r>
        <w:rPr>
          <w:rFonts w:ascii="Calibri" w:hAnsi="Calibri"/>
          <w:color w:val="141B2E"/>
          <w:sz w:val="21"/>
        </w:rPr>
        <w:t>Configure event sources and streaming input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9.  </w:t>
      </w:r>
      <w:r>
        <w:rPr>
          <w:rFonts w:ascii="Calibri" w:hAnsi="Calibri"/>
          <w:color w:val="141B2E"/>
          <w:sz w:val="21"/>
        </w:rPr>
        <w:t>Promote: shadow → advisory → bounded enforcement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10.  </w:t>
      </w:r>
      <w:r>
        <w:rPr>
          <w:rFonts w:ascii="Calibri" w:hAnsi="Calibri"/>
          <w:color w:val="141B2E"/>
          <w:sz w:val="21"/>
        </w:rPr>
        <w:t>Monitoring in production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11.  </w:t>
      </w:r>
      <w:r>
        <w:rPr>
          <w:rFonts w:ascii="Calibri" w:hAnsi="Calibri"/>
          <w:color w:val="141B2E"/>
          <w:sz w:val="21"/>
        </w:rPr>
        <w:t>Safety, privacy and rollback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12.  </w:t>
      </w:r>
      <w:r>
        <w:rPr>
          <w:rFonts w:ascii="Calibri" w:hAnsi="Calibri"/>
          <w:color w:val="141B2E"/>
          <w:sz w:val="21"/>
        </w:rPr>
        <w:t>Troubleshooting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13.  </w:t>
      </w:r>
      <w:r>
        <w:rPr>
          <w:rFonts w:ascii="Calibri" w:hAnsi="Calibri"/>
          <w:color w:val="141B2E"/>
          <w:sz w:val="21"/>
        </w:rPr>
        <w:t>Appendix — deployment cheat-sheet</w:t>
      </w:r>
    </w:p>
    <w:p>
      <w:r>
        <w:br w:type="page"/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  </w:t>
      </w:r>
      <w:r>
        <w:rPr>
          <w:rFonts w:ascii="Calibri" w:hAnsi="Calibri"/>
          <w:b/>
          <w:color w:val="102A54"/>
          <w:sz w:val="34"/>
        </w:rPr>
        <w:t>What you will achieve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By the end of this guide you will have taken the </w:t>
      </w:r>
      <w:r>
        <w:rPr>
          <w:rFonts w:ascii="Calibri" w:hAnsi="Calibri"/>
          <w:b/>
          <w:i w:val="0"/>
          <w:color w:val="141B2E"/>
          <w:sz w:val="21"/>
        </w:rPr>
        <w:t>deployable network produced by the Training Guide</w:t>
      </w:r>
      <w:r>
        <w:rPr>
          <w:rFonts w:ascii="Calibri" w:hAnsi="Calibri"/>
          <w:i w:val="0"/>
          <w:color w:val="141B2E"/>
          <w:sz w:val="21"/>
        </w:rPr>
        <w:t xml:space="preserve"> and run it as a continuous </w:t>
      </w:r>
      <w:r>
        <w:rPr>
          <w:rFonts w:ascii="Calibri" w:hAnsi="Calibri"/>
          <w:b/>
          <w:i w:val="0"/>
          <w:color w:val="141B2E"/>
          <w:sz w:val="21"/>
        </w:rPr>
        <w:t>advisory invalid-traffic scorer</w:t>
      </w:r>
      <w:r>
        <w:rPr>
          <w:rFonts w:ascii="Calibri" w:hAnsi="Calibri"/>
          <w:i w:val="0"/>
          <w:color w:val="141B2E"/>
          <w:sz w:val="21"/>
        </w:rPr>
        <w:t xml:space="preserve"> that names the fraud family, shows its evidence, and recommends a candidate action for every ad event — but never blocks a publisher, withholds a payout, or accuses a person.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BF1E0"/>
          <w:left w:val="single" w:sz="4" w:space="0" w:color="FBF1E0"/>
          <w:bottom w:val="single" w:sz="4" w:space="0" w:color="FBF1E0"/>
          <w:right w:val="single" w:sz="4" w:space="0" w:color="FBF1E0"/>
          <w:insideH w:val="single" w:sz="4" w:space="0" w:color="FBF1E0"/>
          <w:insideV w:val="single" w:sz="4" w:space="0" w:color="FBF1E0"/>
        </w:tblBorders>
      </w:tblPr>
      <w:tblGrid>
        <w:gridCol w:w="9173"/>
      </w:tblGrid>
      <w:tr>
        <w:tc>
          <w:tcPr>
            <w:tcW w:type="dxa" w:w="9173"/>
            <w:shd w:val="clear" w:color="auto" w:fill="FBF1E0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C88A1A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C88A1A"/>
                <w:sz w:val="21"/>
              </w:rPr>
              <w:t>Safety ceiling for the whole guide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Everything below operates in ADVISORY / SHADOW mode. The scorer emits probabilities, evidence, and candidate actions; consequential actions (billing rejection, payout withholding, account blocking) stay disabled until first-party labelled validation, legal review, and an appeal/rollback process are in place.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2  </w:t>
      </w:r>
      <w:r>
        <w:rPr>
          <w:rFonts w:ascii="Calibri" w:hAnsi="Calibri"/>
          <w:b/>
          <w:color w:val="102A54"/>
          <w:sz w:val="34"/>
        </w:rPr>
        <w:t>Prerequisites — the trained bundle and runtime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A trained network</w:t>
      </w:r>
      <w:r>
        <w:rPr>
          <w:rFonts w:ascii="Calibri" w:hAnsi="Calibri"/>
          <w:i w:val="0"/>
          <w:color w:val="141B2E"/>
          <w:sz w:val="21"/>
        </w:rPr>
        <w:t xml:space="preserve"> from the Training Guide — the model bundle directory (</w:t>
      </w:r>
      <w:r>
        <w:rPr>
          <w:rFonts w:ascii="Consolas" w:hAnsi="Consolas"/>
          <w:color w:val="102A54"/>
          <w:sz w:val="20"/>
        </w:rPr>
        <w:t>model-descriptor.json</w:t>
      </w:r>
      <w:r>
        <w:rPr>
          <w:rFonts w:ascii="Calibri" w:hAnsi="Calibri"/>
          <w:i w:val="0"/>
          <w:color w:val="141B2E"/>
          <w:sz w:val="21"/>
        </w:rPr>
        <w:t xml:space="preserve">, </w:t>
      </w:r>
      <w:r>
        <w:rPr>
          <w:rFonts w:ascii="Consolas" w:hAnsi="Consolas"/>
          <w:color w:val="102A54"/>
          <w:sz w:val="20"/>
        </w:rPr>
        <w:t>fallback-model.json</w:t>
      </w:r>
      <w:r>
        <w:rPr>
          <w:rFonts w:ascii="Calibri" w:hAnsi="Calibri"/>
          <w:i w:val="0"/>
          <w:color w:val="141B2E"/>
          <w:sz w:val="21"/>
        </w:rPr>
        <w:t xml:space="preserve">, the eight layer files, </w:t>
      </w:r>
      <w:r>
        <w:rPr>
          <w:rFonts w:ascii="Consolas" w:hAnsi="Consolas"/>
          <w:color w:val="102A54"/>
          <w:sz w:val="20"/>
        </w:rPr>
        <w:t>thresholds.json</w:t>
      </w:r>
      <w:r>
        <w:rPr>
          <w:rFonts w:ascii="Calibri" w:hAnsi="Calibri"/>
          <w:i w:val="0"/>
          <w:color w:val="141B2E"/>
          <w:sz w:val="21"/>
        </w:rPr>
        <w:t xml:space="preserve">, </w:t>
      </w:r>
      <w:r>
        <w:rPr>
          <w:rFonts w:ascii="Consolas" w:hAnsi="Consolas"/>
          <w:color w:val="102A54"/>
          <w:sz w:val="20"/>
        </w:rPr>
        <w:t>calibration.json</w:t>
      </w:r>
      <w:r>
        <w:rPr>
          <w:rFonts w:ascii="Calibri" w:hAnsi="Calibri"/>
          <w:i w:val="0"/>
          <w:color w:val="141B2E"/>
          <w:sz w:val="21"/>
        </w:rPr>
        <w:t xml:space="preserve">, </w:t>
      </w:r>
      <w:r>
        <w:rPr>
          <w:rFonts w:ascii="Consolas" w:hAnsi="Consolas"/>
          <w:color w:val="102A54"/>
          <w:sz w:val="20"/>
        </w:rPr>
        <w:t>checksums.sha256</w:t>
      </w:r>
      <w:r>
        <w:rPr>
          <w:rFonts w:ascii="Calibri" w:hAnsi="Calibri"/>
          <w:i w:val="0"/>
          <w:color w:val="141B2E"/>
          <w:sz w:val="21"/>
        </w:rPr>
        <w:t>).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Java 17+</w:t>
      </w:r>
      <w:r>
        <w:rPr>
          <w:rFonts w:ascii="Calibri" w:hAnsi="Calibri"/>
          <w:i w:val="0"/>
          <w:color w:val="141B2E"/>
          <w:sz w:val="21"/>
        </w:rPr>
        <w:t xml:space="preserve"> and the built worker (</w:t>
      </w:r>
      <w:r>
        <w:rPr>
          <w:rFonts w:ascii="Consolas" w:hAnsi="Consolas"/>
          <w:color w:val="102A54"/>
          <w:sz w:val="20"/>
        </w:rPr>
        <w:t>mvn clean install</w:t>
      </w:r>
      <w:r>
        <w:rPr>
          <w:rFonts w:ascii="Calibri" w:hAnsi="Calibri"/>
          <w:i w:val="0"/>
          <w:color w:val="141B2E"/>
          <w:sz w:val="21"/>
        </w:rPr>
        <w:t>).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Your event feed</w:t>
      </w:r>
      <w:r>
        <w:rPr>
          <w:rFonts w:ascii="Calibri" w:hAnsi="Calibri"/>
          <w:i w:val="0"/>
          <w:color w:val="141B2E"/>
          <w:sz w:val="21"/>
        </w:rPr>
        <w:t xml:space="preserve"> — a Kafka-style stream or an HTTP integration from your ad server, SSP/DSP, or mobile measurement partner.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An output destination</w:t>
      </w:r>
      <w:r>
        <w:rPr>
          <w:rFonts w:ascii="Calibri" w:hAnsi="Calibri"/>
          <w:i w:val="0"/>
          <w:color w:val="141B2E"/>
          <w:sz w:val="21"/>
        </w:rPr>
        <w:t xml:space="preserve"> — a JSONL/audit sink for shadow mode, or your SIEM / data warehouse / analyst queue for operator-visible advisories.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AF1F9"/>
          <w:left w:val="single" w:sz="4" w:space="0" w:color="EAF1F9"/>
          <w:bottom w:val="single" w:sz="4" w:space="0" w:color="EAF1F9"/>
          <w:right w:val="single" w:sz="4" w:space="0" w:color="EAF1F9"/>
          <w:insideH w:val="single" w:sz="4" w:space="0" w:color="EAF1F9"/>
          <w:insideV w:val="single" w:sz="4" w:space="0" w:color="EAF1F9"/>
        </w:tblBorders>
      </w:tblPr>
      <w:tblGrid>
        <w:gridCol w:w="9173"/>
      </w:tblGrid>
      <w:tr>
        <w:tc>
          <w:tcPr>
            <w:tcW w:type="dxa" w:w="9173"/>
            <w:shd w:val="clear" w:color="auto" w:fill="EAF1F9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C5D99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C5D99"/>
                <w:sz w:val="21"/>
              </w:rPr>
              <w:t>Training first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If you do not yet have a trained network, run the companion Training Guide. Deployment consumes its output directory directly; the runtime bundle verifies its checksums on load.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3  </w:t>
      </w:r>
      <w:r>
        <w:rPr>
          <w:rFonts w:ascii="Calibri" w:hAnsi="Calibri"/>
          <w:b/>
          <w:color w:val="102A54"/>
          <w:sz w:val="34"/>
        </w:rPr>
        <w:t>The runtime scorer and the model bundle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Two classes do the work at runtime: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`AdFraudModelBundle`</w:t>
      </w:r>
      <w:r>
        <w:rPr>
          <w:rFonts w:ascii="Calibri" w:hAnsi="Calibri"/>
          <w:i w:val="0"/>
          <w:color w:val="141B2E"/>
          <w:sz w:val="21"/>
        </w:rPr>
        <w:t xml:space="preserve"> loads the model bundle from the classpath (</w:t>
      </w:r>
      <w:r>
        <w:rPr>
          <w:rFonts w:ascii="Consolas" w:hAnsi="Consolas"/>
          <w:color w:val="102A54"/>
          <w:sz w:val="20"/>
        </w:rPr>
        <w:t>model/advertising-fraud</w:t>
      </w:r>
      <w:r>
        <w:rPr>
          <w:rFonts w:ascii="Calibri" w:hAnsi="Calibri"/>
          <w:i w:val="0"/>
          <w:color w:val="141B2E"/>
          <w:sz w:val="21"/>
        </w:rPr>
        <w:t xml:space="preserve">), </w:t>
      </w:r>
      <w:r>
        <w:rPr>
          <w:rFonts w:ascii="Calibri" w:hAnsi="Calibri"/>
          <w:b/>
          <w:i w:val="0"/>
          <w:color w:val="141B2E"/>
          <w:sz w:val="21"/>
        </w:rPr>
        <w:t>verifies `checksums.sha256`</w:t>
      </w:r>
      <w:r>
        <w:rPr>
          <w:rFonts w:ascii="Calibri" w:hAnsi="Calibri"/>
          <w:i w:val="0"/>
          <w:color w:val="141B2E"/>
          <w:sz w:val="21"/>
        </w:rPr>
        <w:t>, and parses the calibrated heads, the non-linear hidden layer, the per-label thresholds, and the Platt calibration. If the bundle is missing or fails verification it falls back to a transparent rules-only model, so the service degrades safely rather than crashing.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`AdFraudRuntimeScorer`</w:t>
      </w:r>
      <w:r>
        <w:rPr>
          <w:rFonts w:ascii="Calibri" w:hAnsi="Calibri"/>
          <w:i w:val="0"/>
          <w:color w:val="141B2E"/>
          <w:sz w:val="21"/>
        </w:rPr>
        <w:t xml:space="preserve"> extracts the typed features from each event (integrity, behavioural, supply-chain, quality, and the behavioural-evidence features), evaluates the hidden layer and the calibrated heads, and produces an </w:t>
      </w:r>
      <w:r>
        <w:rPr>
          <w:rFonts w:ascii="Consolas" w:hAnsi="Consolas"/>
          <w:color w:val="102A54"/>
          <w:sz w:val="20"/>
        </w:rPr>
        <w:t>AdFraudDecision</w:t>
      </w:r>
      <w:r>
        <w:rPr>
          <w:rFonts w:ascii="Calibri" w:hAnsi="Calibri"/>
          <w:i w:val="0"/>
          <w:color w:val="141B2E"/>
          <w:sz w:val="21"/>
        </w:rPr>
        <w:t>.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The decision carries per-label probabilities, an overall invalid-traffic probability, the contributing reasons, a duplicate-event flag, the model version, and the recommended candidate action — everything an analyst needs to act and audit.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4  </w:t>
      </w:r>
      <w:r>
        <w:rPr>
          <w:rFonts w:ascii="Calibri" w:hAnsi="Calibri"/>
          <w:b/>
          <w:color w:val="102A54"/>
          <w:sz w:val="34"/>
        </w:rPr>
        <w:t>The deployable package (what training produced)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The trainer emits the </w:t>
      </w:r>
      <w:r>
        <w:rPr>
          <w:rFonts w:ascii="Calibri" w:hAnsi="Calibri"/>
          <w:b/>
          <w:i w:val="0"/>
          <w:color w:val="141B2E"/>
          <w:sz w:val="21"/>
        </w:rPr>
        <w:t>actual JNeopallium network</w:t>
      </w:r>
      <w:r>
        <w:rPr>
          <w:rFonts w:ascii="Calibri" w:hAnsi="Calibri"/>
          <w:i w:val="0"/>
          <w:color w:val="141B2E"/>
          <w:sz w:val="21"/>
        </w:rPr>
        <w:t>, not an abstract model. The bundle the runtime loads is: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4320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Artifact</w:t>
            </w:r>
          </w:p>
        </w:tc>
        <w:tc>
          <w:tcPr>
            <w:tcW w:type="dxa" w:w="5472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Role at deploy time</w:t>
            </w:r>
          </w:p>
        </w:tc>
      </w:tr>
      <w:tr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model-descriptor.json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Whole-network map: 8 layers, 22 neurons, frequency map, runtime classes</w:t>
            </w:r>
          </w:p>
        </w:tc>
      </w:tr>
      <w:tr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fallback-model.json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Calibrated heads + the non-linear hidden layer (featureNames, hidden, heads)</w:t>
            </w:r>
          </w:p>
        </w:tc>
      </w:tr>
      <w:tr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thresholds.json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/ </w:t>
            </w:r>
            <w:r>
              <w:rPr>
                <w:rFonts w:ascii="Consolas" w:hAnsi="Consolas"/>
                <w:color w:val="102A54"/>
                <w:sz w:val="18"/>
              </w:rPr>
              <w:t>calibration.json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Cost-aware per-label thresholds and Platt calibration</w:t>
            </w:r>
          </w:p>
        </w:tc>
      </w:tr>
      <w:tr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layer-0.json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… </w:t>
            </w:r>
            <w:r>
              <w:rPr>
                <w:rFonts w:ascii="Consolas" w:hAnsi="Consolas"/>
                <w:color w:val="102A54"/>
                <w:sz w:val="18"/>
              </w:rPr>
              <w:t>result-layer.json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The eight deployable layer files</w:t>
            </w:r>
          </w:p>
        </w:tc>
      </w:tr>
      <w:tr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checksums.sha256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Integrity manifest verified on load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Total network: </w:t>
      </w:r>
      <w:r>
        <w:rPr>
          <w:rFonts w:ascii="Calibri" w:hAnsi="Calibri"/>
          <w:b/>
          <w:i w:val="0"/>
          <w:color w:val="141B2E"/>
          <w:sz w:val="21"/>
        </w:rPr>
        <w:t>8 layers, 22 real neurons, 21 features</w:t>
      </w:r>
      <w:r>
        <w:rPr>
          <w:rFonts w:ascii="Calibri" w:hAnsi="Calibri"/>
          <w:i w:val="0"/>
          <w:color w:val="141B2E"/>
          <w:sz w:val="21"/>
        </w:rPr>
        <w:t xml:space="preserve"> (8 base risks + 5 behavioural-evidence + 8 non-linear interaction units). Every neuron names a concrete class from the worker's ad-fraud package, so deployment loads this directory — it does not re-implement anything.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5  </w:t>
      </w:r>
      <w:r>
        <w:rPr>
          <w:rFonts w:ascii="Calibri" w:hAnsi="Calibri"/>
          <w:b/>
          <w:color w:val="102A54"/>
          <w:sz w:val="34"/>
        </w:rPr>
        <w:t>Option A — the HTTP scoring service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The simplest production shape is the bundled HTTP scoring service, which loads the model bundle and exposes a scoring endpoint plus Prometheus-style metrics. Point it at the verified bundle and POST canonical events: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# score a single canonical event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POST http://host:port/v1/ad-fraud/score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Content-Type: application/json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{ "eventId": "...", "eventType": "CLICK", "eventTime": 1800000000000, ... }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# operational metrics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GET  http://host:port/metrics      # events_total, fraud_probability_histogram, ...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The response is the advisory decision (next section). For shadow mode, run the service read-only beside production and write its decisions to an audit sink; nothing in the response path touches your serving or billing.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6  </w:t>
      </w:r>
      <w:r>
        <w:rPr>
          <w:rFonts w:ascii="Calibri" w:hAnsi="Calibri"/>
          <w:b/>
          <w:color w:val="102A54"/>
          <w:sz w:val="34"/>
        </w:rPr>
        <w:t>Option B — the embedded worker network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To run the full eight-layer network inside the Jneopallium worker (for cluster-scale or to compose with other modules), launch the worker entry point with the four standard arguments and point </w:t>
      </w:r>
      <w:r>
        <w:rPr>
          <w:rFonts w:ascii="Consolas" w:hAnsi="Consolas"/>
          <w:color w:val="102A54"/>
          <w:sz w:val="20"/>
        </w:rPr>
        <w:t>configuration.input.layermeta</w:t>
      </w:r>
      <w:r>
        <w:rPr>
          <w:rFonts w:ascii="Calibri" w:hAnsi="Calibri"/>
          <w:i w:val="0"/>
          <w:color w:val="141B2E"/>
          <w:sz w:val="21"/>
        </w:rPr>
        <w:t xml:space="preserve"> at the generated bundle directory: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java -cp worker/target/worker-jar-with-dependencies.jar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com.rakovpublic.jneuropallium.worker.application.Entry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local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file:///opt/jneopallium/ad-fraud-model.jar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com.rakovpublic.jneuropallium.worker.demo.fullrun.runtime.DemoJsonContext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/opt/jneopallium/ad-fraud-context.json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120"/>
      </w:pPr>
      <w:r>
        <w:rPr>
          <w:rFonts w:ascii="Consolas" w:hAnsi="Consolas"/>
          <w:color w:val="102A54"/>
          <w:sz w:val="20"/>
        </w:rPr>
        <w:t>Entry</w:t>
      </w:r>
      <w:r>
        <w:rPr>
          <w:rFonts w:ascii="Calibri" w:hAnsi="Calibri"/>
          <w:i w:val="0"/>
          <w:color w:val="141B2E"/>
          <w:sz w:val="21"/>
        </w:rPr>
        <w:t xml:space="preserve"> deserialises the context, loads the model JAR into an isolated class loader, and maps </w:t>
      </w:r>
      <w:r>
        <w:rPr>
          <w:rFonts w:ascii="Consolas" w:hAnsi="Consolas"/>
          <w:color w:val="102A54"/>
          <w:sz w:val="20"/>
        </w:rPr>
        <w:t>local</w:t>
      </w:r>
      <w:r>
        <w:rPr>
          <w:rFonts w:ascii="Calibri" w:hAnsi="Calibri"/>
          <w:i w:val="0"/>
          <w:color w:val="141B2E"/>
          <w:sz w:val="21"/>
        </w:rPr>
        <w:t xml:space="preserve"> / </w:t>
      </w:r>
      <w:r>
        <w:rPr>
          <w:rFonts w:ascii="Consolas" w:hAnsi="Consolas"/>
          <w:color w:val="102A54"/>
          <w:sz w:val="20"/>
        </w:rPr>
        <w:t>http</w:t>
      </w:r>
      <w:r>
        <w:rPr>
          <w:rFonts w:ascii="Calibri" w:hAnsi="Calibri"/>
          <w:i w:val="0"/>
          <w:color w:val="141B2E"/>
          <w:sz w:val="21"/>
        </w:rPr>
        <w:t xml:space="preserve"> / </w:t>
      </w:r>
      <w:r>
        <w:rPr>
          <w:rFonts w:ascii="Consolas" w:hAnsi="Consolas"/>
          <w:color w:val="102A54"/>
          <w:sz w:val="20"/>
        </w:rPr>
        <w:t>grpc</w:t>
      </w:r>
      <w:r>
        <w:rPr>
          <w:rFonts w:ascii="Calibri" w:hAnsi="Calibri"/>
          <w:i w:val="0"/>
          <w:color w:val="141B2E"/>
          <w:sz w:val="21"/>
        </w:rPr>
        <w:t xml:space="preserve"> to the single-process, HTTP-cluster, or gRPC application. The ad-fraud neuron, processor, and signal classes already ship in the worker, so the deployment JAR provides only your event source (</w:t>
      </w:r>
      <w:r>
        <w:rPr>
          <w:rFonts w:ascii="Consolas" w:hAnsi="Consolas"/>
          <w:color w:val="102A54"/>
          <w:sz w:val="20"/>
        </w:rPr>
        <w:t>IInitInput</w:t>
      </w:r>
      <w:r>
        <w:rPr>
          <w:rFonts w:ascii="Calibri" w:hAnsi="Calibri"/>
          <w:i w:val="0"/>
          <w:color w:val="141B2E"/>
          <w:sz w:val="21"/>
        </w:rPr>
        <w:t>) and output sink (</w:t>
      </w:r>
      <w:r>
        <w:rPr>
          <w:rFonts w:ascii="Consolas" w:hAnsi="Consolas"/>
          <w:color w:val="102A54"/>
          <w:sz w:val="20"/>
        </w:rPr>
        <w:t>IOutputAggregator</w:t>
      </w:r>
      <w:r>
        <w:rPr>
          <w:rFonts w:ascii="Calibri" w:hAnsi="Calibri"/>
          <w:i w:val="0"/>
          <w:color w:val="141B2E"/>
          <w:sz w:val="21"/>
        </w:rPr>
        <w:t>).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7  </w:t>
      </w:r>
      <w:r>
        <w:rPr>
          <w:rFonts w:ascii="Calibri" w:hAnsi="Calibri"/>
          <w:b/>
          <w:color w:val="102A54"/>
          <w:sz w:val="34"/>
        </w:rPr>
        <w:t>The advisory decision contract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Every scored event returns an auditable decision. Forward it to your SIEM, data warehouse, analyst queue, or billing-review system: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{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"eventId": "clk-123",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"modelVersion": "1.0.0-reference-advisory",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"mode": "ADVISORY",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"probabilities": {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  "clickInjection": 0.94, "attributionHijack": 0.91, "bot": 0.03, ...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},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"overallInvalidTrafficProbability": 0.95,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"recommendedAction": "HOLD_PAYOUT_CANDIDATE",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"reasons": [ "conversion observed before click", "click injection timing anomaly" ],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"duplicateEvent": false,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"evidenceCompleteness": 0.8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}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Candidate actions map from the response bands: </w:t>
      </w:r>
      <w:r>
        <w:rPr>
          <w:rFonts w:ascii="Consolas" w:hAnsi="Consolas"/>
          <w:color w:val="102A54"/>
          <w:sz w:val="20"/>
        </w:rPr>
        <w:t>ALLOW</w:t>
      </w:r>
      <w:r>
        <w:rPr>
          <w:rFonts w:ascii="Calibri" w:hAnsi="Calibri"/>
          <w:i w:val="0"/>
          <w:color w:val="141B2E"/>
          <w:sz w:val="21"/>
        </w:rPr>
        <w:t xml:space="preserve"> / </w:t>
      </w:r>
      <w:r>
        <w:rPr>
          <w:rFonts w:ascii="Consolas" w:hAnsi="Consolas"/>
          <w:color w:val="102A54"/>
          <w:sz w:val="20"/>
        </w:rPr>
        <w:t>LOG</w:t>
      </w:r>
      <w:r>
        <w:rPr>
          <w:rFonts w:ascii="Calibri" w:hAnsi="Calibri"/>
          <w:i w:val="0"/>
          <w:color w:val="141B2E"/>
          <w:sz w:val="21"/>
        </w:rPr>
        <w:t xml:space="preserve"> (low), </w:t>
      </w:r>
      <w:r>
        <w:rPr>
          <w:rFonts w:ascii="Consolas" w:hAnsi="Consolas"/>
          <w:color w:val="102A54"/>
          <w:sz w:val="20"/>
        </w:rPr>
        <w:t>REVIEW</w:t>
      </w:r>
      <w:r>
        <w:rPr>
          <w:rFonts w:ascii="Calibri" w:hAnsi="Calibri"/>
          <w:i w:val="0"/>
          <w:color w:val="141B2E"/>
          <w:sz w:val="21"/>
        </w:rPr>
        <w:t xml:space="preserve"> (0.30–0.60), </w:t>
      </w:r>
      <w:r>
        <w:rPr>
          <w:rFonts w:ascii="Consolas" w:hAnsi="Consolas"/>
          <w:color w:val="102A54"/>
          <w:sz w:val="20"/>
        </w:rPr>
        <w:t>RATE_LIMIT_CANDIDATE</w:t>
      </w:r>
      <w:r>
        <w:rPr>
          <w:rFonts w:ascii="Calibri" w:hAnsi="Calibri"/>
          <w:i w:val="0"/>
          <w:color w:val="141B2E"/>
          <w:sz w:val="21"/>
        </w:rPr>
        <w:t xml:space="preserve"> (0.60–0.75), </w:t>
      </w:r>
      <w:r>
        <w:rPr>
          <w:rFonts w:ascii="Consolas" w:hAnsi="Consolas"/>
          <w:color w:val="102A54"/>
          <w:sz w:val="20"/>
        </w:rPr>
        <w:t>HOLD_PAYOUT_CANDIDATE</w:t>
      </w:r>
      <w:r>
        <w:rPr>
          <w:rFonts w:ascii="Calibri" w:hAnsi="Calibri"/>
          <w:i w:val="0"/>
          <w:color w:val="141B2E"/>
          <w:sz w:val="21"/>
        </w:rPr>
        <w:t xml:space="preserve"> (0.75–0.90), </w:t>
      </w:r>
      <w:r>
        <w:rPr>
          <w:rFonts w:ascii="Consolas" w:hAnsi="Consolas"/>
          <w:color w:val="102A54"/>
          <w:sz w:val="20"/>
        </w:rPr>
        <w:t>ESCALATE_TO_ANALYST</w:t>
      </w:r>
      <w:r>
        <w:rPr>
          <w:rFonts w:ascii="Calibri" w:hAnsi="Calibri"/>
          <w:i w:val="0"/>
          <w:color w:val="141B2E"/>
          <w:sz w:val="21"/>
        </w:rPr>
        <w:t xml:space="preserve"> (0.90–1.0). Every action is a </w:t>
      </w:r>
      <w:r>
        <w:rPr>
          <w:rFonts w:ascii="Calibri" w:hAnsi="Calibri"/>
          <w:b/>
          <w:i w:val="0"/>
          <w:color w:val="141B2E"/>
          <w:sz w:val="21"/>
        </w:rPr>
        <w:t>candidate</w:t>
      </w:r>
      <w:r>
        <w:rPr>
          <w:rFonts w:ascii="Calibri" w:hAnsi="Calibri"/>
          <w:i w:val="0"/>
          <w:color w:val="141B2E"/>
          <w:sz w:val="21"/>
        </w:rPr>
        <w:t>; none is executed by the system.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8  </w:t>
      </w:r>
      <w:r>
        <w:rPr>
          <w:rFonts w:ascii="Calibri" w:hAnsi="Calibri"/>
          <w:b/>
          <w:color w:val="102A54"/>
          <w:sz w:val="34"/>
        </w:rPr>
        <w:t>Configure event sources and streaming input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Feed the scorer your live events. Two patterns: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HTTP integration</w:t>
      </w:r>
      <w:r>
        <w:rPr>
          <w:rFonts w:ascii="Calibri" w:hAnsi="Calibri"/>
          <w:i w:val="0"/>
          <w:color w:val="141B2E"/>
          <w:sz w:val="21"/>
        </w:rPr>
        <w:t xml:space="preserve"> — your ad server / SSP / MMP POSTs each canonical event to </w:t>
      </w:r>
      <w:r>
        <w:rPr>
          <w:rFonts w:ascii="Consolas" w:hAnsi="Consolas"/>
          <w:color w:val="102A54"/>
          <w:sz w:val="20"/>
        </w:rPr>
        <w:t>/v1/ad-fraud/score</w:t>
      </w:r>
      <w:r>
        <w:rPr>
          <w:rFonts w:ascii="Calibri" w:hAnsi="Calibri"/>
          <w:i w:val="0"/>
          <w:color w:val="141B2E"/>
          <w:sz w:val="21"/>
        </w:rPr>
        <w:t xml:space="preserve"> and stores the returned decision.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Stream integration</w:t>
      </w:r>
      <w:r>
        <w:rPr>
          <w:rFonts w:ascii="Calibri" w:hAnsi="Calibri"/>
          <w:i w:val="0"/>
          <w:color w:val="141B2E"/>
          <w:sz w:val="21"/>
        </w:rPr>
        <w:t xml:space="preserve"> — a site-specific </w:t>
      </w:r>
      <w:r>
        <w:rPr>
          <w:rFonts w:ascii="Consolas" w:hAnsi="Consolas"/>
          <w:color w:val="102A54"/>
          <w:sz w:val="20"/>
        </w:rPr>
        <w:t>IInitInput</w:t>
      </w:r>
      <w:r>
        <w:rPr>
          <w:rFonts w:ascii="Calibri" w:hAnsi="Calibri"/>
          <w:i w:val="0"/>
          <w:color w:val="141B2E"/>
          <w:sz w:val="21"/>
        </w:rPr>
        <w:t xml:space="preserve"> consumes your Kafka topics (bids, impressions, clicks, postbacks, retention/refund) and converts each record into the typed ad-fraud signals, preserving event time so delayed and out-of-order events still correlate.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Keep delayed-quality events (retention, refund, chargeback, uninstall) flowing — they are the slow truth that confirms or revises an earlier advisory, and they run on the slow loop by design.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9  </w:t>
      </w:r>
      <w:r>
        <w:rPr>
          <w:rFonts w:ascii="Calibri" w:hAnsi="Calibri"/>
          <w:b/>
          <w:color w:val="102A54"/>
          <w:sz w:val="34"/>
        </w:rPr>
        <w:t>Promote: shadow → advisory → bounded enforcement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Promote gradually. Each step earns the next; consequential actions stay disabled until the whole sequence has passed.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0E7C86"/>
          <w:sz w:val="21"/>
        </w:rPr>
        <w:t xml:space="preserve">1.  </w:t>
      </w:r>
      <w:r>
        <w:rPr>
          <w:rFonts w:ascii="Calibri" w:hAnsi="Calibri"/>
          <w:b/>
          <w:i w:val="0"/>
          <w:color w:val="141B2E"/>
          <w:sz w:val="21"/>
        </w:rPr>
        <w:t>Offline replay.</w:t>
      </w:r>
      <w:r>
        <w:rPr>
          <w:rFonts w:ascii="Calibri" w:hAnsi="Calibri"/>
          <w:i w:val="0"/>
          <w:color w:val="141B2E"/>
          <w:sz w:val="21"/>
        </w:rPr>
        <w:t xml:space="preserve"> Score an exported event log without touching production. Deliver named invalid-traffic findings, an evidence timeline, an estimated wasted-spend impact, and a false-positive review.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0E7C86"/>
          <w:sz w:val="21"/>
        </w:rPr>
        <w:t xml:space="preserve">2.  </w:t>
      </w:r>
      <w:r>
        <w:rPr>
          <w:rFonts w:ascii="Calibri" w:hAnsi="Calibri"/>
          <w:b/>
          <w:i w:val="0"/>
          <w:color w:val="141B2E"/>
          <w:sz w:val="21"/>
        </w:rPr>
        <w:t>Shadow.</w:t>
      </w:r>
      <w:r>
        <w:rPr>
          <w:rFonts w:ascii="Calibri" w:hAnsi="Calibri"/>
          <w:i w:val="0"/>
          <w:color w:val="141B2E"/>
          <w:sz w:val="21"/>
        </w:rPr>
        <w:t xml:space="preserve"> Read-only scoring beside production, decisions to an audit sink only. Compare advisories against first-party outcomes (chargebacks, MMP rulings) and analyst review.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0E7C86"/>
          <w:sz w:val="21"/>
        </w:rPr>
        <w:t xml:space="preserve">3.  </w:t>
      </w:r>
      <w:r>
        <w:rPr>
          <w:rFonts w:ascii="Calibri" w:hAnsi="Calibri"/>
          <w:b/>
          <w:i w:val="0"/>
          <w:color w:val="141B2E"/>
          <w:sz w:val="21"/>
        </w:rPr>
        <w:t>Advisory.</w:t>
      </w:r>
      <w:r>
        <w:rPr>
          <w:rFonts w:ascii="Calibri" w:hAnsi="Calibri"/>
          <w:i w:val="0"/>
          <w:color w:val="141B2E"/>
          <w:sz w:val="21"/>
        </w:rPr>
        <w:t xml:space="preserve"> Surface decisions to analysts and billing review, once precision at your review capacity and calibration meet target.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0E7C86"/>
          <w:sz w:val="21"/>
        </w:rPr>
        <w:t xml:space="preserve">4.  </w:t>
      </w:r>
      <w:r>
        <w:rPr>
          <w:rFonts w:ascii="Calibri" w:hAnsi="Calibri"/>
          <w:b/>
          <w:i w:val="0"/>
          <w:color w:val="141B2E"/>
          <w:sz w:val="21"/>
        </w:rPr>
        <w:t>Bounded enforcement.</w:t>
      </w:r>
      <w:r>
        <w:rPr>
          <w:rFonts w:ascii="Calibri" w:hAnsi="Calibri"/>
          <w:i w:val="0"/>
          <w:color w:val="141B2E"/>
          <w:sz w:val="21"/>
        </w:rPr>
        <w:t xml:space="preserve"> Only after first-party labelled validation, legal review, and an appeal/rollback process — and even then, narrowly scoped (e.g. hold a specific payout for review), never silent blocking or accusation.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10  </w:t>
      </w:r>
      <w:r>
        <w:rPr>
          <w:rFonts w:ascii="Calibri" w:hAnsi="Calibri"/>
          <w:b/>
          <w:color w:val="102A54"/>
          <w:sz w:val="34"/>
        </w:rPr>
        <w:t>Monitoring in production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Events scored per minute; dropped, delayed, and out-of-order events.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Per-label advisory rates; the fraud-probability histogram; false-positive review rate.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Confirmed true-positive rate against first-party outcomes (chargebacks, MMP rulings).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Calibration drift and model-drift signals (the slow monitoring cadence).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Model version and bundle checksum used for every decision.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Every decision preserves its lineage: event id, per-label probabilities, contributing reasons, the model version, and the recommended candidate action.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11  </w:t>
      </w:r>
      <w:r>
        <w:rPr>
          <w:rFonts w:ascii="Calibri" w:hAnsi="Calibri"/>
          <w:b/>
          <w:color w:val="102A54"/>
          <w:sz w:val="34"/>
        </w:rPr>
        <w:t>Safety, privacy and rollback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Advisory by construction.</w:t>
      </w:r>
      <w:r>
        <w:rPr>
          <w:rFonts w:ascii="Calibri" w:hAnsi="Calibri"/>
          <w:i w:val="0"/>
          <w:color w:val="141B2E"/>
          <w:sz w:val="21"/>
        </w:rPr>
        <w:t xml:space="preserve"> The response gate emits candidates only; automatic billing rejection, payout withholding, account blocking, and accusations are structurally disabled.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Privacy preserved.</w:t>
      </w:r>
      <w:r>
        <w:rPr>
          <w:rFonts w:ascii="Calibri" w:hAnsi="Calibri"/>
          <w:i w:val="0"/>
          <w:color w:val="141B2E"/>
          <w:sz w:val="21"/>
        </w:rPr>
        <w:t xml:space="preserve"> Identifiers are pseudonymised (HMAC) before training and logs; raw IPs, precise geolocation, and user-agent strings are never exported; missing values are distinct from zero risk.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Safe degradation.</w:t>
      </w:r>
      <w:r>
        <w:rPr>
          <w:rFonts w:ascii="Calibri" w:hAnsi="Calibri"/>
          <w:i w:val="0"/>
          <w:color w:val="141B2E"/>
          <w:sz w:val="21"/>
        </w:rPr>
        <w:t xml:space="preserve"> If the bundle is missing or fails checksum verification, the runtime falls back to a transparent rules-only model rather than failing the request path.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Rollback.</w:t>
      </w:r>
      <w:r>
        <w:rPr>
          <w:rFonts w:ascii="Calibri" w:hAnsi="Calibri"/>
          <w:i w:val="0"/>
          <w:color w:val="141B2E"/>
          <w:sz w:val="21"/>
        </w:rPr>
        <w:t xml:space="preserve"> Keep the previous bundle available; roll back if false positives exceed budget, calibration drifts, or first-party outcomes diverge from advisories.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BF1E0"/>
          <w:left w:val="single" w:sz="4" w:space="0" w:color="FBF1E0"/>
          <w:bottom w:val="single" w:sz="4" w:space="0" w:color="FBF1E0"/>
          <w:right w:val="single" w:sz="4" w:space="0" w:color="FBF1E0"/>
          <w:insideH w:val="single" w:sz="4" w:space="0" w:color="FBF1E0"/>
          <w:insideV w:val="single" w:sz="4" w:space="0" w:color="FBF1E0"/>
        </w:tblBorders>
      </w:tblPr>
      <w:tblGrid>
        <w:gridCol w:w="9173"/>
      </w:tblGrid>
      <w:tr>
        <w:tc>
          <w:tcPr>
            <w:tcW w:type="dxa" w:w="9173"/>
            <w:shd w:val="clear" w:color="auto" w:fill="FBF1E0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C88A1A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C88A1A"/>
                <w:sz w:val="21"/>
              </w:rPr>
              <w:t>Honest limitation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The checked-in reference network is trained on a deterministic simulator plus weak public-source metadata. It is excellent for repeatable pipeline evidence and label-separation, but real-world accuracy requires first-party labelled production traffic, forward-time and unseen-publisher validation, and a documented review of data handling. It is advisory until then.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12  </w:t>
      </w:r>
      <w:r>
        <w:rPr>
          <w:rFonts w:ascii="Calibri" w:hAnsi="Calibri"/>
          <w:b/>
          <w:color w:val="102A54"/>
          <w:sz w:val="34"/>
        </w:rPr>
        <w:t>Troubleshooting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4320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5472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Likely cause and fix</w:t>
            </w:r>
          </w:p>
        </w:tc>
      </w:tr>
      <w:tr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Service logs "rules-only fallback"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Bundle missing or checksum mismatch — re-export and redeploy the bundle</w:t>
            </w:r>
          </w:p>
        </w:tc>
      </w:tr>
      <w:tr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All probabilities look flat / wrong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Feature names changed; redeploy the matching bundle so the runtime augments correctly</w:t>
            </w:r>
          </w:p>
        </w:tc>
      </w:tr>
      <w:tr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Decisions emit a blocking action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Verify mode is ADVISORY; consequential actions must stay candidate-only</w:t>
            </w:r>
          </w:p>
        </w:tc>
      </w:tr>
      <w:tr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Delayed-quality labels never improve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Ensure retention/refund/chargeback events are fed on the slow loop</w:t>
            </w:r>
          </w:p>
        </w:tc>
      </w:tr>
      <w:tr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High false positives on a publisher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Tune per-label thresholds / review capacity; check for a baseline shift</w:t>
            </w:r>
          </w:p>
        </w:tc>
      </w:tr>
      <w:tr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Scores diverge from training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You deployed a stale bundle; redeploy the latest trained package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13  </w:t>
      </w:r>
      <w:r>
        <w:rPr>
          <w:rFonts w:ascii="Calibri" w:hAnsi="Calibri"/>
          <w:b/>
          <w:color w:val="102A54"/>
          <w:sz w:val="34"/>
        </w:rPr>
        <w:t>Appendix — deployment cheat-sheet</w:t>
      </w:r>
    </w:p>
    <w:p>
      <w:pPr>
        <w:keepNext/>
        <w:spacing w:before="180" w:after="20"/>
      </w:pPr>
      <w:r>
        <w:rPr>
          <w:rFonts w:ascii="Calibri" w:hAnsi="Calibri"/>
          <w:b/>
          <w:color w:val="0E7C86"/>
          <w:sz w:val="22"/>
        </w:rPr>
        <w:t>Score an event (HTTP service)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curl -s -X POST http://host:port/v1/ad-fraud/score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-H 'Content-Type: application/json'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-d '{"eventId":"clk-1","eventType":"CLICK","eventTime":1800000000000}'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curl -s http://host:port/metrics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keepNext/>
        <w:spacing w:before="180" w:after="20"/>
      </w:pPr>
      <w:r>
        <w:rPr>
          <w:rFonts w:ascii="Calibri" w:hAnsi="Calibri"/>
          <w:b/>
          <w:color w:val="0E7C86"/>
          <w:sz w:val="22"/>
        </w:rPr>
        <w:t>Embedded worker network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java -cp worker/target/worker-jar-with-dependencies.jar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com.rakovpublic.jneuropallium.worker.application.Entry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local file:///opt/jneopallium/ad-fraud-model.jar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com.rakovpublic.jneuropallium.worker.demo.fullrun.runtime.DemoJsonContext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/opt/jneopallium/ad-fraud-context.json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0" w:before="0"/>
      </w:pPr>
      <w:r>
        <w:rPr>
          <w:sz w:val="16"/>
        </w:rPr>
      </w:r>
    </w:p>
    <w:p>
      <w:pPr>
        <w:spacing w:after="120"/>
      </w:pPr>
      <w:r>
        <w:rPr>
          <w:rFonts w:ascii="Calibri" w:hAnsi="Calibri"/>
          <w:i/>
          <w:color w:val="0E7C86"/>
          <w:sz w:val="21"/>
        </w:rPr>
        <w:t>Jneopallium Ad-Fraud Guardian · Deployment Guide. Consumes the network produced by the Training Guide. Safety mode: ADVISORY / SHADOW. Consequential actions require first-party validation, legal review, and an appeal/rollback process. License: BSD 3-Clause.</w:t>
      </w:r>
    </w:p>
    <w:sectPr w:rsidR="00FC693F" w:rsidRPr="0006063C" w:rsidSect="00034616">
      <w:footerReference w:type="default" r:id="rId9"/>
      <w:pgSz w:w="11909" w:h="16834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8A93A6"/>
        <w:sz w:val="16"/>
      </w:rPr>
      <w:t>Jneopallium · Ad-Fraud Guardian · Multi-label invalid-traffic advisory · ADVISORY</w:t>
    </w:r>
    <w:r>
      <w:rPr>
        <w:sz w:val="16"/>
      </w:rPr>
      <w:t xml:space="preserve">    </w:t>
    </w:r>
    <w:r>
      <w:rPr>
        <w:color w:val="8A93A6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41B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