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184"/>
      </w:tblGrid>
      <w:tr>
        <w:tc>
          <w:tcPr>
            <w:tcW w:type="dxa" w:w="17184"/>
            <w:shd w:val="clear" w:color="auto" w:fill="102A54"/>
            <w:tcMar>
              <w:top w:w="900" w:type="dxa"/>
              <w:bottom w:w="900" w:type="dxa"/>
              <w:start w:w="420" w:type="dxa"/>
              <w:end w:w="420" w:type="dxa"/>
            </w:tcMar>
          </w:tcPr>
          <w:p>
            <w:pPr>
              <w:spacing w:after="120"/>
            </w:pPr>
            <w:r>
              <w:rPr>
                <w:b/>
                <w:color w:val="8FC2F0"/>
                <w:sz w:val="30"/>
              </w:rPr>
              <w:t>JNEOPALLIUM · AD-FRAUD GUARDIAN</w:t>
            </w:r>
          </w:p>
          <w:p>
            <w:pPr>
              <w:spacing w:after="160"/>
            </w:pPr>
            <w:r>
              <w:rPr>
                <w:b/>
                <w:color w:val="FFFFFF"/>
                <w:sz w:val="80"/>
              </w:rPr>
              <w:t>Stop Paying for Clicks That Never Happened</w:t>
            </w:r>
          </w:p>
          <w:p>
            <w:r>
              <w:rPr>
                <w:color w:val="CFDCEE"/>
                <w:sz w:val="36"/>
              </w:rPr>
              <w:t>Multi-label invalid-traffic intelligence — names the fraud, shows the evidence, recommends the action</w:t>
            </w:r>
          </w:p>
        </w:tc>
      </w:tr>
    </w:tbl>
    <w:p>
      <w:pPr>
        <w:spacing w:before="320"/>
      </w:pPr>
      <w:r>
        <w:rPr>
          <w:color w:val="555F70"/>
          <w:sz w:val="22"/>
        </w:rPr>
        <w:t>On-premises · Shadow → Advisory · Privacy by design · macro-F1 ≈ 0.97 · BSD-3 core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01  </w:t>
      </w:r>
      <w:r>
        <w:rPr>
          <w:b/>
          <w:color w:val="102A54"/>
          <w:sz w:val="52"/>
        </w:rPr>
        <w:t>A chunk of your ad budget buys nothing</w:t>
      </w:r>
    </w:p>
    <w:p>
      <w:pPr>
        <w:pBdr>
          <w:bottom w:val="single" w:sz="12" w:space="2" w:color="1C5D99"/>
        </w:pBdr>
        <w:spacing w:after="160"/>
      </w:pPr>
    </w:p>
    <w:p>
      <w:pPr>
        <w:spacing w:after="160"/>
      </w:pPr>
      <w:r>
        <w:rPr>
          <w:i/>
          <w:color w:val="1C5D99"/>
          <w:sz w:val="30"/>
        </w:rPr>
        <w:t>Industry estimates put invalid-traffic losses in the tens of billions of dollars a year.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Bots</w:t>
      </w:r>
      <w:r>
        <w:rPr>
          <w:color w:val="141B2E"/>
          <w:sz w:val="29"/>
        </w:rPr>
        <w:t xml:space="preserve"> click and view ads no human ever sees.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Click farms &amp; incentivized installs</w:t>
      </w:r>
      <w:r>
        <w:rPr>
          <w:color w:val="141B2E"/>
          <w:sz w:val="29"/>
        </w:rPr>
        <w:t xml:space="preserve"> look like users but never become customers.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Attribution fraud</w:t>
      </w:r>
      <w:r>
        <w:rPr>
          <w:color w:val="141B2E"/>
          <w:sz w:val="29"/>
        </w:rPr>
        <w:t xml:space="preserve"> (click spam, click injection) pays the wrong partner for conversions you'd have won anyway.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Made-for-advertising &amp; spoofed inventory</w:t>
      </w:r>
      <w:r>
        <w:rPr>
          <w:color w:val="141B2E"/>
          <w:sz w:val="29"/>
        </w:rPr>
        <w:t xml:space="preserve"> soak up spend behind faked supply paths.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>Every one of these quietly drains ROAS — and a single "fraud %" can't tell them apart.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02  </w:t>
      </w:r>
      <w:r>
        <w:rPr>
          <w:b/>
          <w:color w:val="102A54"/>
          <w:sz w:val="52"/>
        </w:rPr>
        <w:t>One "fraud score" can't run your business</w:t>
      </w:r>
    </w:p>
    <w:p>
      <w:pPr>
        <w:pBdr>
          <w:bottom w:val="single" w:sz="12" w:space="2" w:color="1C5D99"/>
        </w:pBdr>
        <w:spacing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592"/>
        <w:gridCol w:w="8592"/>
      </w:tblGrid>
      <w:tr>
        <w:tc>
          <w:tcPr>
            <w:tcW w:type="dxa" w:w="8496"/>
            <w:shd w:val="clear" w:color="auto" w:fill="F8E9E9"/>
            <w:tcMar>
              <w:top w:w="140" w:type="dxa"/>
              <w:bottom w:w="160" w:type="dxa"/>
              <w:start w:w="180" w:type="dxa"/>
              <w:end w:w="180" w:type="dxa"/>
            </w:tcMar>
          </w:tcPr>
          <w:p>
            <w:pPr>
              <w:spacing w:after="120"/>
            </w:pPr>
            <w:r>
              <w:rPr>
                <w:b/>
                <w:color w:val="B12A2A"/>
                <w:sz w:val="30"/>
              </w:rPr>
              <w:t>A single risk number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"73% fraud" — but **which** kind?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No evidence, so no defensible action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Wrong action withholds a real payout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One threshold over- or under-flags everything</w:t>
            </w:r>
          </w:p>
        </w:tc>
        <w:tc>
          <w:tcPr>
            <w:tcW w:type="dxa" w:w="8496"/>
            <w:shd w:val="clear" w:color="auto" w:fill="E8F3EC"/>
            <w:tcMar>
              <w:top w:w="140" w:type="dxa"/>
              <w:bottom w:w="160" w:type="dxa"/>
              <w:start w:w="180" w:type="dxa"/>
              <w:end w:w="180" w:type="dxa"/>
            </w:tcMar>
          </w:tcPr>
          <w:p>
            <w:pPr>
              <w:spacing w:after="120"/>
            </w:pPr>
            <w:r>
              <w:rPr>
                <w:b/>
                <w:color w:val="1F7A3D"/>
                <w:sz w:val="30"/>
              </w:rPr>
              <w:t>What you actually need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**Which** fraud family, named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**Why** — the contributing evidence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**What to do** — a proportionate action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**Calibrated** probabilities you can trust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03  </w:t>
      </w:r>
      <w:r>
        <w:rPr>
          <w:b/>
          <w:color w:val="102A54"/>
          <w:sz w:val="52"/>
        </w:rPr>
        <w:t>The solution: name it, prove it, recommend it</w:t>
      </w:r>
    </w:p>
    <w:p>
      <w:pPr>
        <w:pBdr>
          <w:bottom w:val="single" w:sz="12" w:space="2" w:color="1C5D99"/>
        </w:pBdr>
        <w:spacing w:after="160"/>
      </w:pPr>
    </w:p>
    <w:p>
      <w:pPr>
        <w:spacing w:after="160"/>
      </w:pPr>
      <w:r>
        <w:rPr>
          <w:i/>
          <w:color w:val="1C5D99"/>
          <w:sz w:val="30"/>
        </w:rPr>
        <w:t>A multi-label invalid-traffic engine — not one score, ten calibrated verdicts.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Multi-label.</w:t>
      </w:r>
      <w:r>
        <w:rPr>
          <w:color w:val="141B2E"/>
          <w:sz w:val="29"/>
        </w:rPr>
        <w:t xml:space="preserve"> One event can be flagged as several things at once, each with its own probability.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Evidence-first.</w:t>
      </w:r>
      <w:r>
        <w:rPr>
          <w:color w:val="141B2E"/>
          <w:sz w:val="29"/>
        </w:rPr>
        <w:t xml:space="preserve"> Every verdict carries the signals and a human-readable reason.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Advisory by construction.</w:t>
      </w:r>
      <w:r>
        <w:rPr>
          <w:color w:val="141B2E"/>
          <w:sz w:val="29"/>
        </w:rPr>
        <w:t xml:space="preserve"> Candidate actions only — it never blocks a publisher or withholds a payout on its own.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Private by design.</w:t>
      </w:r>
      <w:r>
        <w:rPr>
          <w:color w:val="141B2E"/>
          <w:sz w:val="29"/>
        </w:rPr>
        <w:t xml:space="preserve"> Identifiers are hashed; raw IPs, location, and user-agents are never exported.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Explainable, on-premises, open core</w:t>
      </w:r>
      <w:r>
        <w:rPr>
          <w:color w:val="141B2E"/>
          <w:sz w:val="29"/>
        </w:rPr>
        <w:t xml:space="preserve"> — it fits review, audit, and a publisher appeal.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04  </w:t>
      </w:r>
      <w:r>
        <w:rPr>
          <w:b/>
          <w:color w:val="102A54"/>
          <w:sz w:val="52"/>
        </w:rPr>
        <w:t>It reads every event across many clocks</w:t>
      </w:r>
    </w:p>
    <w:p>
      <w:pPr>
        <w:pBdr>
          <w:bottom w:val="single" w:sz="12" w:space="2" w:color="1C5D99"/>
        </w:pBdr>
        <w:spacing w:after="160"/>
      </w:pPr>
    </w:p>
    <w:p>
      <w:pPr>
        <w:spacing w:after="160"/>
      </w:pPr>
      <w:r>
        <w:rPr>
          <w:i/>
          <w:color w:val="1C5D99"/>
          <w:sz w:val="30"/>
        </w:rPr>
        <w:t>Instant checks plus the slow truth that only arrives days later.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Instant:</w:t>
      </w:r>
      <w:r>
        <w:rPr>
          <w:color w:val="141B2E"/>
          <w:sz w:val="29"/>
        </w:rPr>
        <w:t xml:space="preserve"> forged signatures, replayed events, click-before-impression — caught on the spot.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Per-session:</w:t>
      </w:r>
      <w:r>
        <w:rPr>
          <w:color w:val="141B2E"/>
          <w:sz w:val="29"/>
        </w:rPr>
        <w:t xml:space="preserve"> click-injection timing, click-spam volume, attribution anomalies.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Minutes:</w:t>
      </w:r>
      <w:r>
        <w:rPr>
          <w:color w:val="141B2E"/>
          <w:sz w:val="29"/>
        </w:rPr>
        <w:t xml:space="preserve"> click-farm device/account fanout graphs.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Days:</w:t>
      </w:r>
      <w:r>
        <w:rPr>
          <w:color w:val="141B2E"/>
          <w:sz w:val="29"/>
        </w:rPr>
        <w:t xml:space="preserve"> the real truth about quality — retention, refunds, chargebacks, uninstalls.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>One engine weighs an instant signal against a multi-day quality outcome in a single verdict.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05  </w:t>
      </w:r>
      <w:r>
        <w:rPr>
          <w:b/>
          <w:color w:val="102A54"/>
          <w:sz w:val="52"/>
        </w:rPr>
        <w:t>Ten fraud families, named</w:t>
      </w:r>
    </w:p>
    <w:p>
      <w:pPr>
        <w:pBdr>
          <w:bottom w:val="single" w:sz="12" w:space="2" w:color="1C5D99"/>
        </w:pBdr>
        <w:spacing w:after="160"/>
      </w:pPr>
    </w:p>
    <w:p>
      <w:pPr>
        <w:spacing w:after="160"/>
      </w:pPr>
      <w:r>
        <w:rPr>
          <w:i/>
          <w:color w:val="1C5D99"/>
          <w:sz w:val="30"/>
        </w:rPr>
        <w:t>Each gets its own calibrated probability — and the right action attaches to the right problem.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bot</w:t>
      </w:r>
      <w:r>
        <w:rPr>
          <w:color w:val="141B2E"/>
          <w:sz w:val="29"/>
        </w:rPr>
        <w:t xml:space="preserve"> · </w:t>
      </w:r>
      <w:r>
        <w:rPr>
          <w:b/>
          <w:color w:val="102A54"/>
          <w:sz w:val="29"/>
        </w:rPr>
        <w:t>clickFarm</w:t>
      </w:r>
      <w:r>
        <w:rPr>
          <w:color w:val="141B2E"/>
          <w:sz w:val="29"/>
        </w:rPr>
        <w:t xml:space="preserve"> · </w:t>
      </w:r>
      <w:r>
        <w:rPr>
          <w:b/>
          <w:color w:val="102A54"/>
          <w:sz w:val="29"/>
        </w:rPr>
        <w:t>incentivized</w:t>
      </w:r>
      <w:r>
        <w:rPr>
          <w:color w:val="141B2E"/>
          <w:sz w:val="29"/>
        </w:rPr>
        <w:t xml:space="preserve"> — manufactured or low-value engagement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clickSpam</w:t>
      </w:r>
      <w:r>
        <w:rPr>
          <w:color w:val="141B2E"/>
          <w:sz w:val="29"/>
        </w:rPr>
        <w:t xml:space="preserve"> · </w:t>
      </w:r>
      <w:r>
        <w:rPr>
          <w:b/>
          <w:color w:val="102A54"/>
          <w:sz w:val="29"/>
        </w:rPr>
        <w:t>clickInjection</w:t>
      </w:r>
      <w:r>
        <w:rPr>
          <w:color w:val="141B2E"/>
          <w:sz w:val="29"/>
        </w:rPr>
        <w:t xml:space="preserve"> · </w:t>
      </w:r>
      <w:r>
        <w:rPr>
          <w:b/>
          <w:color w:val="102A54"/>
          <w:sz w:val="29"/>
        </w:rPr>
        <w:t>attributionHijack</w:t>
      </w:r>
      <w:r>
        <w:rPr>
          <w:color w:val="141B2E"/>
          <w:sz w:val="29"/>
        </w:rPr>
        <w:t xml:space="preserve"> — stealing conversion credit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eventSpoofing</w:t>
      </w:r>
      <w:r>
        <w:rPr>
          <w:color w:val="141B2E"/>
          <w:sz w:val="29"/>
        </w:rPr>
        <w:t xml:space="preserve"> · </w:t>
      </w:r>
      <w:r>
        <w:rPr>
          <w:b/>
          <w:color w:val="102A54"/>
          <w:sz w:val="29"/>
        </w:rPr>
        <w:t>inventorySpoofing</w:t>
      </w:r>
      <w:r>
        <w:rPr>
          <w:color w:val="141B2E"/>
          <w:sz w:val="29"/>
        </w:rPr>
        <w:t xml:space="preserve"> — forged events and faked supply paths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accidentalOrLowValue</w:t>
      </w:r>
      <w:r>
        <w:rPr>
          <w:color w:val="141B2E"/>
          <w:sz w:val="29"/>
        </w:rPr>
        <w:t xml:space="preserve"> · </w:t>
      </w:r>
      <w:r>
        <w:rPr>
          <w:b/>
          <w:color w:val="102A54"/>
          <w:sz w:val="29"/>
        </w:rPr>
        <w:t>unknownSuspicious</w:t>
      </w:r>
      <w:r>
        <w:rPr>
          <w:color w:val="141B2E"/>
          <w:sz w:val="29"/>
        </w:rPr>
        <w:t xml:space="preserve"> — the model says "odd, not necessarily fraud" instead of over-accusing.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06  </w:t>
      </w:r>
      <w:r>
        <w:rPr>
          <w:b/>
          <w:color w:val="102A54"/>
          <w:sz w:val="52"/>
        </w:rPr>
        <w:t>Every verdict carries its evidence</w:t>
      </w:r>
    </w:p>
    <w:p>
      <w:pPr>
        <w:pBdr>
          <w:bottom w:val="single" w:sz="12" w:space="2" w:color="1C5D99"/>
        </w:pBdr>
        <w:spacing w:after="160"/>
      </w:pPr>
    </w:p>
    <w:p>
      <w:pPr>
        <w:spacing w:after="160"/>
      </w:pPr>
      <w:r>
        <w:rPr>
          <w:i/>
          <w:color w:val="1C5D99"/>
          <w:sz w:val="30"/>
        </w:rPr>
        <w:t>Not a black box — an auditable decision your analysts and partners can trust.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>`probabilities`: clickInjection 0.94, attributionHijack 0.91, bot 0.03 …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>`overallInvalidTrafficProbability`: 0.95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`recommendation`: </w:t>
      </w:r>
      <w:r>
        <w:rPr>
          <w:b/>
          <w:color w:val="102A54"/>
          <w:sz w:val="29"/>
        </w:rPr>
        <w:t>HOLD_PAYOUT_CANDIDATE</w:t>
      </w:r>
      <w:r>
        <w:rPr>
          <w:color w:val="141B2E"/>
          <w:sz w:val="29"/>
        </w:rPr>
        <w:t xml:space="preserve"> (a candidate — never auto-executed)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>`reasons`: "conversion observed before click", "click injection timing anomaly"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`mode`: </w:t>
      </w:r>
      <w:r>
        <w:rPr>
          <w:b/>
          <w:color w:val="102A54"/>
          <w:sz w:val="29"/>
        </w:rPr>
        <w:t>ADVISORY</w:t>
      </w:r>
      <w:r>
        <w:rPr>
          <w:color w:val="141B2E"/>
          <w:sz w:val="29"/>
        </w:rPr>
        <w:t xml:space="preserve"> — and the model never accuses a named person.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07  </w:t>
      </w:r>
      <w:r>
        <w:rPr>
          <w:b/>
          <w:color w:val="102A54"/>
          <w:sz w:val="52"/>
        </w:rPr>
        <w:t>Proof: we measured, diagnosed, and lifted it</w:t>
      </w:r>
    </w:p>
    <w:p>
      <w:pPr>
        <w:pBdr>
          <w:bottom w:val="single" w:sz="12" w:space="2" w:color="1C5D99"/>
        </w:pBdr>
        <w:spacing w:after="160"/>
      </w:pPr>
    </w:p>
    <w:p>
      <w:pPr>
        <w:spacing w:after="200"/>
      </w:pPr>
      <w:r>
        <w:rPr>
          <w:i/>
          <w:color w:val="1C5D99"/>
          <w:sz w:val="30"/>
        </w:rPr>
        <w:t>A deliberate model upgrade raised detection quality sharply on the reference corpus.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296"/>
        <w:gridCol w:w="4296"/>
        <w:gridCol w:w="4296"/>
        <w:gridCol w:w="4296"/>
      </w:tblGrid>
      <w:tr>
        <w:tc>
          <w:tcPr>
            <w:tcW w:type="dxa" w:w="4296"/>
            <w:shd w:val="clear" w:color="auto" w:fill="EAF1F9"/>
            <w:tcMar>
              <w:top w:w="180" w:type="dxa"/>
              <w:bottom w:w="6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02A54"/>
                <w:sz w:val="60"/>
              </w:rPr>
              <w:t>0.97</w:t>
            </w:r>
          </w:p>
        </w:tc>
        <w:tc>
          <w:tcPr>
            <w:tcW w:type="dxa" w:w="4296"/>
            <w:shd w:val="clear" w:color="auto" w:fill="EAF1F9"/>
            <w:tcMar>
              <w:top w:w="180" w:type="dxa"/>
              <w:bottom w:w="6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02A54"/>
                <w:sz w:val="60"/>
              </w:rPr>
              <w:t>0.66 → 0.97</w:t>
            </w:r>
          </w:p>
        </w:tc>
        <w:tc>
          <w:tcPr>
            <w:tcW w:type="dxa" w:w="4296"/>
            <w:shd w:val="clear" w:color="auto" w:fill="EAF1F9"/>
            <w:tcMar>
              <w:top w:w="180" w:type="dxa"/>
              <w:bottom w:w="6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02A54"/>
                <w:sz w:val="60"/>
              </w:rPr>
              <w:t>12 / 12</w:t>
            </w:r>
          </w:p>
        </w:tc>
        <w:tc>
          <w:tcPr>
            <w:tcW w:type="dxa" w:w="4296"/>
            <w:shd w:val="clear" w:color="auto" w:fill="EAF1F9"/>
            <w:tcMar>
              <w:top w:w="180" w:type="dxa"/>
              <w:bottom w:w="6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02A54"/>
                <w:sz w:val="60"/>
              </w:rPr>
              <w:t>ADVISORY</w:t>
            </w:r>
          </w:p>
        </w:tc>
      </w:tr>
      <w:tr>
        <w:tc>
          <w:tcPr>
            <w:tcW w:type="dxa" w:w="4296"/>
            <w:shd w:val="clear" w:color="auto" w:fill="EAF1F9"/>
            <w:tcMar>
              <w:top w:w="0" w:type="dxa"/>
              <w:bottom w:w="1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color w:val="555F70"/>
                <w:sz w:val="22"/>
              </w:rPr>
              <w:t>Macro-F1 across the</w:t>
              <w:br/>
              <w:t>ten fraud labels</w:t>
            </w:r>
          </w:p>
        </w:tc>
        <w:tc>
          <w:tcPr>
            <w:tcW w:type="dxa" w:w="4296"/>
            <w:shd w:val="clear" w:color="auto" w:fill="EAF1F9"/>
            <w:tcMar>
              <w:top w:w="0" w:type="dxa"/>
              <w:bottom w:w="1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color w:val="555F70"/>
                <w:sz w:val="22"/>
              </w:rPr>
              <w:t>Before → after</w:t>
              <w:br/>
              <w:t>the model upgrade</w:t>
            </w:r>
          </w:p>
        </w:tc>
        <w:tc>
          <w:tcPr>
            <w:tcW w:type="dxa" w:w="4296"/>
            <w:shd w:val="clear" w:color="auto" w:fill="EAF1F9"/>
            <w:tcMar>
              <w:top w:w="0" w:type="dxa"/>
              <w:bottom w:w="1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color w:val="555F70"/>
                <w:sz w:val="22"/>
              </w:rPr>
              <w:t>Java runtime tests</w:t>
              <w:br/>
              <w:t>passing</w:t>
            </w:r>
          </w:p>
        </w:tc>
        <w:tc>
          <w:tcPr>
            <w:tcW w:type="dxa" w:w="4296"/>
            <w:shd w:val="clear" w:color="auto" w:fill="EAF1F9"/>
            <w:tcMar>
              <w:top w:w="0" w:type="dxa"/>
              <w:bottom w:w="1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color w:val="555F70"/>
                <w:sz w:val="22"/>
              </w:rPr>
              <w:t>Safety ceiling,</w:t>
              <w:br/>
              <w:t>never exceeded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08  </w:t>
      </w:r>
      <w:r>
        <w:rPr>
          <w:b/>
          <w:color w:val="102A54"/>
          <w:sz w:val="52"/>
        </w:rPr>
        <w:t>Safe and private by construction</w:t>
      </w:r>
    </w:p>
    <w:p>
      <w:pPr>
        <w:pBdr>
          <w:bottom w:val="single" w:sz="12" w:space="2" w:color="1C5D99"/>
        </w:pBdr>
        <w:spacing w:after="160"/>
      </w:pPr>
    </w:p>
    <w:p>
      <w:pPr>
        <w:spacing w:after="160"/>
      </w:pPr>
      <w:r>
        <w:rPr>
          <w:i/>
          <w:color w:val="1C5D99"/>
          <w:sz w:val="30"/>
        </w:rPr>
        <w:t>Easy to demonstrate, validate, and deploy next to billing.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Advisory / shadow by default.</w:t>
      </w:r>
      <w:r>
        <w:rPr>
          <w:color w:val="141B2E"/>
          <w:sz w:val="29"/>
        </w:rPr>
        <w:t xml:space="preserve"> It recommends; humans decide. It never blocks or withholds on its own.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Never an accusation.</w:t>
      </w:r>
      <w:r>
        <w:rPr>
          <w:color w:val="141B2E"/>
          <w:sz w:val="29"/>
        </w:rPr>
        <w:t xml:space="preserve"> It emits invalid-traffic *evidence*, not a claim that a person committed fraud.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Privacy first.</w:t>
      </w:r>
      <w:r>
        <w:rPr>
          <w:color w:val="141B2E"/>
          <w:sz w:val="29"/>
        </w:rPr>
        <w:t xml:space="preserve"> HMAC-hashed identifiers; no raw IP, geo, or user-agent ever exported; missing ≠ zero.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Safe degradation.</w:t>
      </w:r>
      <w:r>
        <w:rPr>
          <w:color w:val="141B2E"/>
          <w:sz w:val="29"/>
        </w:rPr>
        <w:t xml:space="preserve"> If the model is unavailable it falls back to transparent rules — no broken request path.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Honest about evidence.</w:t>
      </w:r>
      <w:r>
        <w:rPr>
          <w:color w:val="141B2E"/>
          <w:sz w:val="29"/>
        </w:rPr>
        <w:t xml:space="preserve"> Reference metrics are pipeline evidence; field accuracy is earned on your data.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09  </w:t>
      </w:r>
      <w:r>
        <w:rPr>
          <w:b/>
          <w:color w:val="102A54"/>
          <w:sz w:val="52"/>
        </w:rPr>
        <w:t>The money math is simple</w:t>
      </w:r>
    </w:p>
    <w:p>
      <w:pPr>
        <w:pBdr>
          <w:bottom w:val="single" w:sz="12" w:space="2" w:color="1C5D99"/>
        </w:pBdr>
        <w:spacing w:after="160"/>
      </w:pPr>
    </w:p>
    <w:p>
      <w:pPr>
        <w:spacing w:after="160"/>
      </w:pPr>
      <w:r>
        <w:rPr>
          <w:i/>
          <w:color w:val="1C5D99"/>
          <w:sz w:val="30"/>
        </w:rPr>
        <w:t>Recover wasted spend and stop paying for fraudulent conversions. Illustrative example: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Annual ad / payout spend  →  </w:t>
      </w:r>
      <w:r>
        <w:rPr>
          <w:b/>
          <w:color w:val="102A54"/>
          <w:sz w:val="29"/>
        </w:rPr>
        <w:t>$50,000,000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Invalid-traffic share (conservative)  →  </w:t>
      </w:r>
      <w:r>
        <w:rPr>
          <w:b/>
          <w:color w:val="102A54"/>
          <w:sz w:val="29"/>
        </w:rPr>
        <w:t>10%</w:t>
      </w:r>
      <w:r>
        <w:rPr>
          <w:color w:val="141B2E"/>
          <w:sz w:val="29"/>
        </w:rPr>
        <w:t xml:space="preserve">  =  $5,000,000 exposed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Detectable, actionable share recovered  →  </w:t>
      </w:r>
      <w:r>
        <w:rPr>
          <w:b/>
          <w:color w:val="102A54"/>
          <w:sz w:val="29"/>
        </w:rPr>
        <w:t>20–40%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Recovered value  →  $1,000,000 – $2,000,000 / year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>Price the product at a small fraction of verified savings — the ROI is not close.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10  </w:t>
      </w:r>
      <w:r>
        <w:rPr>
          <w:b/>
          <w:color w:val="102A54"/>
          <w:sz w:val="52"/>
        </w:rPr>
        <w:t>Land and expand — paid at every step</w:t>
      </w:r>
    </w:p>
    <w:p>
      <w:pPr>
        <w:pBdr>
          <w:bottom w:val="single" w:sz="12" w:space="2" w:color="1C5D99"/>
        </w:pBdr>
        <w:spacing w:after="160"/>
      </w:pPr>
    </w:p>
    <w:p>
      <w:pPr>
        <w:spacing w:after="160"/>
      </w:pPr>
      <w:r>
        <w:rPr>
          <w:i/>
          <w:color w:val="1C5D99"/>
          <w:sz w:val="30"/>
        </w:rPr>
        <w:t>A low-risk path from a log export to a recurring subscription. (Indicative pricing.)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Offline replay.</w:t>
      </w:r>
      <w:r>
        <w:rPr>
          <w:color w:val="141B2E"/>
          <w:sz w:val="29"/>
        </w:rPr>
        <w:t xml:space="preserve"> Score an exported event log; deliver named findings, evidence, and a wasted-spend estimate. </w:t>
      </w:r>
      <w:r>
        <w:rPr>
          <w:b/>
          <w:color w:val="102A54"/>
          <w:sz w:val="29"/>
        </w:rPr>
        <w:t>€5–15k / assessment.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Shadow pilot.</w:t>
      </w:r>
      <w:r>
        <w:rPr>
          <w:color w:val="141B2E"/>
          <w:sz w:val="29"/>
        </w:rPr>
        <w:t xml:space="preserve"> Read-only scoring beside production; compare to your chargebacks and MMP rulings. </w:t>
      </w:r>
      <w:r>
        <w:rPr>
          <w:b/>
          <w:color w:val="102A54"/>
          <w:sz w:val="29"/>
        </w:rPr>
        <w:t>€15–40k</w:t>
      </w:r>
      <w:r>
        <w:rPr>
          <w:color w:val="141B2E"/>
          <w:sz w:val="29"/>
        </w:rPr>
        <w:t>, credited to year one.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Advisory subscription.</w:t>
      </w:r>
      <w:r>
        <w:rPr>
          <w:color w:val="141B2E"/>
          <w:sz w:val="29"/>
        </w:rPr>
        <w:t xml:space="preserve"> Operator-visible verdicts to analysts and billing review. </w:t>
      </w:r>
      <w:r>
        <w:rPr>
          <w:b/>
          <w:color w:val="102A54"/>
          <w:sz w:val="29"/>
        </w:rPr>
        <w:t>Per event-volume band, per site / year.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Bounded enforcement.</w:t>
      </w:r>
      <w:r>
        <w:rPr>
          <w:color w:val="141B2E"/>
          <w:sz w:val="29"/>
        </w:rPr>
        <w:t xml:space="preserve"> Only after first-party validation + legal review + appeal/rollback — narrowly scoped, never silent blocking.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11  </w:t>
      </w:r>
      <w:r>
        <w:rPr>
          <w:b/>
          <w:color w:val="102A54"/>
          <w:sz w:val="52"/>
        </w:rPr>
        <w:t>Where we fit — and where we won't overreach</w:t>
      </w:r>
    </w:p>
    <w:p>
      <w:pPr>
        <w:pBdr>
          <w:bottom w:val="single" w:sz="12" w:space="2" w:color="1C5D99"/>
        </w:pBdr>
        <w:spacing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592"/>
        <w:gridCol w:w="8592"/>
      </w:tblGrid>
      <w:tr>
        <w:tc>
          <w:tcPr>
            <w:tcW w:type="dxa" w:w="8496"/>
            <w:shd w:val="clear" w:color="auto" w:fill="F8E9E9"/>
            <w:tcMar>
              <w:top w:w="140" w:type="dxa"/>
              <w:bottom w:w="160" w:type="dxa"/>
              <w:start w:w="180" w:type="dxa"/>
              <w:end w:w="180" w:type="dxa"/>
            </w:tcMar>
          </w:tcPr>
          <w:p>
            <w:pPr>
              <w:spacing w:after="120"/>
            </w:pPr>
            <w:r>
              <w:rPr>
                <w:b/>
                <w:color w:val="B12A2A"/>
                <w:sz w:val="30"/>
              </w:rPr>
              <w:t>We add (high value)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Naming the exact invalid-traffic family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Evidence for every advisory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Calibrated, multi-label probabilities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A safe shadow → advisory path</w:t>
            </w:r>
          </w:p>
        </w:tc>
        <w:tc>
          <w:tcPr>
            <w:tcW w:type="dxa" w:w="8496"/>
            <w:shd w:val="clear" w:color="auto" w:fill="E8F3EC"/>
            <w:tcMar>
              <w:top w:w="140" w:type="dxa"/>
              <w:bottom w:w="160" w:type="dxa"/>
              <w:start w:w="180" w:type="dxa"/>
              <w:end w:w="180" w:type="dxa"/>
            </w:tcMar>
          </w:tcPr>
          <w:p>
            <w:pPr>
              <w:spacing w:after="120"/>
            </w:pPr>
            <w:r>
              <w:rPr>
                <w:b/>
                <w:color w:val="1F7A3D"/>
                <w:sz w:val="30"/>
              </w:rPr>
              <w:t>We won't do (by design)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Silently block a publisher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Auto-withhold a payout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Accuse a named person of fraud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Replace your MMP / SSP / billing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184"/>
      </w:tblGrid>
      <w:tr>
        <w:tc>
          <w:tcPr>
            <w:tcW w:type="dxa" w:w="17184"/>
            <w:shd w:val="clear" w:color="auto" w:fill="102A54"/>
            <w:tcMar>
              <w:top w:w="520" w:type="dxa"/>
              <w:bottom w:w="520" w:type="dxa"/>
              <w:start w:w="420" w:type="dxa"/>
              <w:end w:w="420" w:type="dxa"/>
            </w:tcMar>
          </w:tcPr>
          <w:p>
            <w:pPr>
              <w:spacing w:after="160"/>
            </w:pPr>
            <w:r>
              <w:rPr>
                <w:b/>
                <w:color w:val="FFFFFF"/>
                <w:sz w:val="64"/>
              </w:rPr>
              <w:t>Send us a log export. We'll show you the leak.</w:t>
            </w:r>
          </w:p>
          <w:p>
            <w:pPr>
              <w:spacing w:after="80"/>
            </w:pPr>
            <w:r>
              <w:rPr>
                <w:color w:val="CFDCEE"/>
                <w:sz w:val="30"/>
              </w:rPr>
              <w:t>Export an anonymised event log, or point us at a feed — read-only, privacy-preserving.</w:t>
            </w:r>
          </w:p>
          <w:p>
            <w:pPr>
              <w:spacing w:after="80"/>
            </w:pPr>
            <w:r>
              <w:rPr>
                <w:color w:val="CFDCEE"/>
                <w:sz w:val="30"/>
              </w:rPr>
              <w:t>We return named invalid-traffic findings, the evidence, and an estimated wasted-spend impact.</w:t>
            </w:r>
          </w:p>
          <w:p>
            <w:pPr>
              <w:spacing w:after="80"/>
            </w:pPr>
            <w:r>
              <w:rPr>
                <w:color w:val="CFDCEE"/>
                <w:sz w:val="30"/>
              </w:rPr>
              <w:t>Open-source demo today · paid assessment in weeks · shadow pilot next quarter.</w:t>
            </w:r>
          </w:p>
          <w:p>
            <w:pPr>
              <w:spacing w:before="200"/>
            </w:pPr>
            <w:r>
              <w:rPr>
                <w:b/>
                <w:color w:val="8FC2F0"/>
                <w:sz w:val="36"/>
              </w:rPr>
              <w:t>Book a paid invalid-traffic assessment.</w:t>
            </w:r>
          </w:p>
        </w:tc>
      </w:tr>
    </w:tbl>
    <w:p>
      <w:pPr>
        <w:spacing w:before="280"/>
      </w:pPr>
      <w:r>
        <w:rPr>
          <w:color w:val="555F70"/>
          <w:sz w:val="22"/>
        </w:rPr>
        <w:t>Dmytro Rakovskyi · Kharkiv, Ukraine</w:t>
      </w:r>
      <w:r>
        <w:rPr>
          <w:color w:val="555F70"/>
          <w:sz w:val="22"/>
        </w:rPr>
        <w:t xml:space="preserve">    |    github.com/rakovpublic/jneopallium</w:t>
      </w:r>
      <w:r>
        <w:rPr>
          <w:color w:val="555F70"/>
          <w:sz w:val="22"/>
        </w:rPr>
        <w:t xml:space="preserve">    |    IJSR 13(7), 2024 · DOI 10.21275/SR24703042047</w:t>
      </w:r>
    </w:p>
    <w:sectPr w:rsidR="00FC693F" w:rsidRPr="0006063C" w:rsidSect="00034616">
      <w:pgSz w:w="19200" w:h="10800" w:orient="landscape"/>
      <w:pgMar w:top="792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41B2E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