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TEST REPORT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Complete Test Report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Multi-label invalid-traffic detection — results, the upgrade that lifted them, and an honest reading</w:t>
      </w:r>
    </w:p>
    <w:p>
      <w:pPr>
        <w:pBdr>
          <w:bottom w:val="single" w:sz="10" w:space="4" w:color="102A54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What was tested, how it performed, what a recent upgrade changed, and — stated plainly and up front — exactly what the results do and do not prove. Written so a non-specialist can read every number with confidence.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Document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Verification &amp; Test Report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Product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(advertising-fraud module)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Model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advertising-fraud 1.0.0-reference-advisory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Headline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macro-F1 0.66 → 0.97 after a deliberate model upgrade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Result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All checks passed (reference corpus); 12/12 Java tests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Author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Dmytro Rakovskyi — Kharkiv, Ukraine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Date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June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License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>Contents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Executive summary of results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What we tested, and why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Test environment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A plain-language primer on the metrics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Model quality — per-label, before and after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The upgrade that lifted the score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Calibration — are the probabilities honest?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The deterministic workflow and the leakage audit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The deployable network and the Java test suite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The honest limitations (read this carefully)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Overall verdict and readiness</w:t>
      </w:r>
    </w:p>
    <w:p>
      <w:pPr>
        <w:spacing w:after="80"/>
        <w:ind w:left="144"/>
      </w:pPr>
      <w:r>
        <w:rPr>
          <w:rFonts w:ascii="Calibri" w:hAnsi="Calibri"/>
          <w:b/>
          <w:color w:val="102A54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Glossary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Executive summary of results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Ad-Fraud Guardian was verified at four independent levels: </w:t>
      </w:r>
      <w:r>
        <w:rPr>
          <w:rFonts w:ascii="Calibri" w:hAnsi="Calibri"/>
          <w:b/>
          <w:i w:val="0"/>
          <w:color w:val="141B2E"/>
          <w:sz w:val="21"/>
        </w:rPr>
        <w:t>model quality</w:t>
      </w:r>
      <w:r>
        <w:rPr>
          <w:rFonts w:ascii="Calibri" w:hAnsi="Calibri"/>
          <w:i w:val="0"/>
          <w:color w:val="141B2E"/>
          <w:sz w:val="21"/>
        </w:rPr>
        <w:t xml:space="preserve"> (how well it separates each fraud family), </w:t>
      </w:r>
      <w:r>
        <w:rPr>
          <w:rFonts w:ascii="Calibri" w:hAnsi="Calibri"/>
          <w:b/>
          <w:i w:val="0"/>
          <w:color w:val="141B2E"/>
          <w:sz w:val="21"/>
        </w:rPr>
        <w:t>calibration</w:t>
      </w:r>
      <w:r>
        <w:rPr>
          <w:rFonts w:ascii="Calibri" w:hAnsi="Calibri"/>
          <w:i w:val="0"/>
          <w:color w:val="141B2E"/>
          <w:sz w:val="21"/>
        </w:rPr>
        <w:t xml:space="preserve"> (whether its probabilities are honest), </w:t>
      </w:r>
      <w:r>
        <w:rPr>
          <w:rFonts w:ascii="Calibri" w:hAnsi="Calibri"/>
          <w:b/>
          <w:i w:val="0"/>
          <w:color w:val="141B2E"/>
          <w:sz w:val="21"/>
        </w:rPr>
        <w:t>workflow integrity</w:t>
      </w:r>
      <w:r>
        <w:rPr>
          <w:rFonts w:ascii="Calibri" w:hAnsi="Calibri"/>
          <w:i w:val="0"/>
          <w:color w:val="141B2E"/>
          <w:sz w:val="21"/>
        </w:rPr>
        <w:t xml:space="preserve"> (leakage-safe, reproducible), and </w:t>
      </w:r>
      <w:r>
        <w:rPr>
          <w:rFonts w:ascii="Calibri" w:hAnsi="Calibri"/>
          <w:b/>
          <w:i w:val="0"/>
          <w:color w:val="141B2E"/>
          <w:sz w:val="21"/>
        </w:rPr>
        <w:t>runtime</w:t>
      </w:r>
      <w:r>
        <w:rPr>
          <w:rFonts w:ascii="Calibri" w:hAnsi="Calibri"/>
          <w:i w:val="0"/>
          <w:color w:val="141B2E"/>
          <w:sz w:val="21"/>
        </w:rPr>
        <w:t xml:space="preserve"> (the deployable network loads and the Java suite passes). Every check passed, and a recent, deliberate upgrade lifted the headline number sharply.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layer</w:t>
            </w:r>
          </w:p>
        </w:tc>
        <w:tc>
          <w:tcPr>
            <w:tcW w:type="dxa" w:w="446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checks</w:t>
            </w:r>
          </w:p>
        </w:tc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Model quality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Per-label precision / recall / F1, macro-F1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macro-F1 ≈ 0.97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(was 0.66)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Calibration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Whether a 0.9 score means ~90% likely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Real Platt scaling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per label (was identity)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Workflow</w:t>
            </w:r>
          </w:p>
        </w:tc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Leakage-safe split, reproducibility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Pass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leakage audit clean, deterministic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Runtime</w:t>
            </w:r>
          </w:p>
        </w:tc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Bundle loads, Java tests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Pass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— 12/12 Java tests green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The single most important sentence in this report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The near-perfect scores are on a deterministic simulator plus weak public-source metadata, evaluated leakage-safe. They prove the pipeline and the label separation — they are NOT a claim of real-world accuracy, which must be earned on first-party labelled production traffic. The model stays SHADOW/ADVISORY until then. We state this here, at the top, on purpose.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What we tested, and why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An invalid-traffic product earns trust by being tested the way it will be used — not just "does it run", but "does it name the right fraud, calibrate its confidence, and refuse to over-accuse." The verification is therefore layered: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Each fraud family</w:t>
      </w:r>
      <w:r>
        <w:rPr>
          <w:rFonts w:ascii="Calibri" w:hAnsi="Calibri"/>
          <w:i w:val="0"/>
          <w:color w:val="141B2E"/>
          <w:sz w:val="21"/>
        </w:rPr>
        <w:t xml:space="preserve"> — given held-out events, does each of the ten labels separate its fraud type from everything else, and is precision high enough to act on?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 probabilities</w:t>
      </w:r>
      <w:r>
        <w:rPr>
          <w:rFonts w:ascii="Calibri" w:hAnsi="Calibri"/>
          <w:i w:val="0"/>
          <w:color w:val="141B2E"/>
          <w:sz w:val="21"/>
        </w:rPr>
        <w:t xml:space="preserve"> — does a 0.9 really mean roughly 90% likely, so analysts and thresholds can trust them?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 workflow</w:t>
      </w:r>
      <w:r>
        <w:rPr>
          <w:rFonts w:ascii="Calibri" w:hAnsi="Calibri"/>
          <w:i w:val="0"/>
          <w:color w:val="141B2E"/>
          <w:sz w:val="21"/>
        </w:rPr>
        <w:t xml:space="preserve"> — is the split leakage-safe (no identifier crosses train/test) and the run reproducible for a fixed seed?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The runtime</w:t>
      </w:r>
      <w:r>
        <w:rPr>
          <w:rFonts w:ascii="Calibri" w:hAnsi="Calibri"/>
          <w:i w:val="0"/>
          <w:color w:val="141B2E"/>
          <w:sz w:val="21"/>
        </w:rPr>
        <w:t xml:space="preserve"> — does the exported network load with verified checksums, and does the Java test suite pass?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Test environment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88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9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Platform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Jneopallium multi-module Maven project (master + worker)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Runtime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 17+ runtime scorer; Python 3 workflow (no third-party packages)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Model under test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advertising-fraud, 1.0.0-reference-advisory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Task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Multi-label: ten independent invalid-traffic labels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Network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8 layers, 22 neurons, 21 features (8 base + 5 evidence + 8 interaction)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Safety mode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/ SHADOW; AUTOMATED_ACTION_READY = false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Reference command</w:t>
            </w:r>
          </w:p>
        </w:tc>
        <w:tc>
          <w:tcPr>
            <w:tcW w:type="dxa" w:w="69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 scripts/demo-ad-fraud/run_all.py --offline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Determinism</w:t>
            </w:r>
          </w:p>
        </w:tc>
        <w:tc>
          <w:tcPr>
            <w:tcW w:type="dxa" w:w="69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Reproducible for a fixed seed: same command → same metrics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A plain-language primer on the metrics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An "example" is a single ad event the model labels. The classification metrics: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44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32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Plain-language meaning</w:t>
            </w:r>
          </w:p>
        </w:tc>
        <w:tc>
          <w:tcPr>
            <w:tcW w:type="dxa" w:w="2016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Best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Precision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Of the events flagged with a label, how many really had it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(no false alarms)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Recall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Of the real cases of a label, how many it caught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 (missed nothing)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F1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single fair blend of precision and recall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F1 averaged equally across all ten labels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 / ROC-AUC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How well the score *ranks* fraud above non-fraud</w:t>
            </w:r>
          </w:p>
        </w:tc>
        <w:tc>
          <w:tcPr>
            <w:tcW w:type="dxa" w:w="201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</w:t>
            </w:r>
          </w:p>
        </w:tc>
      </w:tr>
      <w:tr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Calibration error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How far a 0.9 score is from a true 90%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0.0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Ranking vs. threshold — why both matter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A head can rank perfectly (AUC 1.0) yet score a poor F1 if its decision threshold is wrong. The earlier model failed exactly this way on two labels; the upgrade fixed the thresholds and calibration, and added the evidence the conflated labels were missing.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Model quality — per-label, before and after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Each label was evaluated on a held-out, leakage-safe split (including an adversarial holdout). A recent upgrade improved or held every label; the macro-F1 rose from </w:t>
      </w:r>
      <w:r>
        <w:rPr>
          <w:rFonts w:ascii="Calibri" w:hAnsi="Calibri"/>
          <w:b/>
          <w:i w:val="0"/>
          <w:color w:val="141B2E"/>
          <w:sz w:val="21"/>
        </w:rPr>
        <w:t>0.66 to 0.97</w:t>
      </w:r>
      <w:r>
        <w:rPr>
          <w:rFonts w:ascii="Calibri" w:hAnsi="Calibri"/>
          <w:i w:val="0"/>
          <w:color w:val="141B2E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1835"/>
        <w:gridCol w:w="1835"/>
        <w:gridCol w:w="1835"/>
        <w:gridCol w:w="1835"/>
        <w:gridCol w:w="1835"/>
      </w:tblGrid>
      <w:tr>
        <w:tc>
          <w:tcPr>
            <w:tcW w:type="dxa" w:w="331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Fraud label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F1 before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F1 after</w:t>
            </w:r>
          </w:p>
        </w:tc>
        <w:tc>
          <w:tcPr>
            <w:tcW w:type="dxa" w:w="172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Precision after</w:t>
            </w:r>
          </w:p>
        </w:tc>
        <w:tc>
          <w:tcPr>
            <w:tcW w:type="dxa" w:w="158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Recall after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bot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eventSpoofing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attributionHijack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unknownSuspicious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clickInjection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0.25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inventorySpoofing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0.25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incentivized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0.67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clickFarm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0.67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clickSpam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0.29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0.98</w:t>
            </w:r>
          </w:p>
        </w:tc>
        <w:tc>
          <w:tcPr>
            <w:tcW w:type="dxa" w:w="17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0.95</w:t>
            </w:r>
          </w:p>
        </w:tc>
        <w:tc>
          <w:tcPr>
            <w:tcW w:type="dxa" w:w="158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  <w:tr>
        <w:tc>
          <w:tcPr>
            <w:tcW w:type="dxa" w:w="331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accidentalOrLowValue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0.44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0.69</w:t>
            </w:r>
          </w:p>
        </w:tc>
        <w:tc>
          <w:tcPr>
            <w:tcW w:type="dxa" w:w="17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0.52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1.00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b/>
          <w:i w:val="0"/>
          <w:color w:val="141B2E"/>
          <w:sz w:val="21"/>
        </w:rPr>
        <w:t>macro-F1: 0.656 → 0.966.</w:t>
      </w:r>
      <w:r>
        <w:rPr>
          <w:rFonts w:ascii="Calibri" w:hAnsi="Calibri"/>
          <w:i w:val="0"/>
          <w:color w:val="141B2E"/>
          <w:sz w:val="21"/>
        </w:rPr>
        <w:t xml:space="preserve"> Every previously-broken head is fixed. The one remaining soft spot, </w:t>
      </w:r>
      <w:r>
        <w:rPr>
          <w:rFonts w:ascii="Consolas" w:hAnsi="Consolas"/>
          <w:color w:val="102A54"/>
          <w:sz w:val="20"/>
        </w:rPr>
        <w:t>accidentalOrLowValue</w:t>
      </w:r>
      <w:r>
        <w:rPr>
          <w:rFonts w:ascii="Calibri" w:hAnsi="Calibri"/>
          <w:i w:val="0"/>
          <w:color w:val="141B2E"/>
          <w:sz w:val="21"/>
        </w:rPr>
        <w:t xml:space="preserve"> (0.69), is deliberately a fuzzy *union* label — accidental clicks, low-conversion traffic, and incentivized installs are all folded into it — so it is intrinsically harder, and pushing it higher needs first-party labels rather than more architecture.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The upgrade that lifted the score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The jump came from a diagnosis, not guesswork. The earlier model failed in two distinct ways, each fixed by a specific change: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Threshold / calibration failures (cheap to fix)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clickInjection</w:t>
      </w:r>
      <w:r>
        <w:rPr>
          <w:rFonts w:ascii="Calibri" w:hAnsi="Calibri"/>
          <w:i w:val="0"/>
          <w:color w:val="141B2E"/>
          <w:sz w:val="21"/>
        </w:rPr>
        <w:t xml:space="preserve"> and </w:t>
      </w:r>
      <w:r>
        <w:rPr>
          <w:rFonts w:ascii="Consolas" w:hAnsi="Consolas"/>
          <w:color w:val="102A54"/>
          <w:sz w:val="20"/>
        </w:rPr>
        <w:t>inventorySpoofing</w:t>
      </w:r>
      <w:r>
        <w:rPr>
          <w:rFonts w:ascii="Calibri" w:hAnsi="Calibri"/>
          <w:i w:val="0"/>
          <w:color w:val="141B2E"/>
          <w:sz w:val="21"/>
        </w:rPr>
        <w:t xml:space="preserve"> ranked perfectly (AUC 1.0) but scored F1 0.25 because their decision threshold flagged *everything*, and calibration was a no-op. Fixing per-label thresholds, adding real Platt calibration, and giving those adversarial families in-distribution training coverage lifted both to 1.0.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Conflated labels (needed new model capacity)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clickSpam</w:t>
      </w:r>
      <w:r>
        <w:rPr>
          <w:rFonts w:ascii="Calibri" w:hAnsi="Calibri"/>
          <w:i w:val="0"/>
          <w:color w:val="141B2E"/>
          <w:sz w:val="21"/>
        </w:rPr>
        <w:t xml:space="preserve"> shared an identical head with </w:t>
      </w:r>
      <w:r>
        <w:rPr>
          <w:rFonts w:ascii="Consolas" w:hAnsi="Consolas"/>
          <w:color w:val="102A54"/>
          <w:sz w:val="20"/>
        </w:rPr>
        <w:t>attributionHijack</w:t>
      </w:r>
      <w:r>
        <w:rPr>
          <w:rFonts w:ascii="Calibri" w:hAnsi="Calibri"/>
          <w:i w:val="0"/>
          <w:color w:val="141B2E"/>
          <w:sz w:val="21"/>
        </w:rPr>
        <w:t xml:space="preserve">, and </w:t>
      </w:r>
      <w:r>
        <w:rPr>
          <w:rFonts w:ascii="Consolas" w:hAnsi="Consolas"/>
          <w:color w:val="102A54"/>
          <w:sz w:val="20"/>
        </w:rPr>
        <w:t>incentivized</w:t>
      </w:r>
      <w:r>
        <w:rPr>
          <w:rFonts w:ascii="Calibri" w:hAnsi="Calibri"/>
          <w:i w:val="0"/>
          <w:color w:val="141B2E"/>
          <w:sz w:val="21"/>
        </w:rPr>
        <w:t xml:space="preserve"> with </w:t>
      </w:r>
      <w:r>
        <w:rPr>
          <w:rFonts w:ascii="Consolas" w:hAnsi="Consolas"/>
          <w:color w:val="102A54"/>
          <w:sz w:val="20"/>
        </w:rPr>
        <w:t>clickFarm</w:t>
      </w:r>
      <w:r>
        <w:rPr>
          <w:rFonts w:ascii="Calibri" w:hAnsi="Calibri"/>
          <w:i w:val="0"/>
          <w:color w:val="141B2E"/>
          <w:sz w:val="21"/>
        </w:rPr>
        <w:t xml:space="preserve"> — the 8 base features could not tell the look-alikes apart. Two new layers fixed this: a </w:t>
      </w:r>
      <w:r>
        <w:rPr>
          <w:rFonts w:ascii="Calibri" w:hAnsi="Calibri"/>
          <w:b/>
          <w:i w:val="0"/>
          <w:color w:val="141B2E"/>
          <w:sz w:val="21"/>
        </w:rPr>
        <w:t>behavioural-evidence layer</w:t>
      </w:r>
      <w:r>
        <w:rPr>
          <w:rFonts w:ascii="Calibri" w:hAnsi="Calibri"/>
          <w:i w:val="0"/>
          <w:color w:val="141B2E"/>
          <w:sz w:val="21"/>
        </w:rPr>
        <w:t xml:space="preserve"> (single-purpose neurons emitting click-volume, conversion-timing, incentive, and low-value features) and a </w:t>
      </w:r>
      <w:r>
        <w:rPr>
          <w:rFonts w:ascii="Calibri" w:hAnsi="Calibri"/>
          <w:b/>
          <w:i w:val="0"/>
          <w:color w:val="141B2E"/>
          <w:sz w:val="21"/>
        </w:rPr>
        <w:t>non-linear feature-interaction layer</w:t>
      </w:r>
      <w:r>
        <w:rPr>
          <w:rFonts w:ascii="Calibri" w:hAnsi="Calibri"/>
          <w:i w:val="0"/>
          <w:color w:val="141B2E"/>
          <w:sz w:val="21"/>
        </w:rPr>
        <w:t>. Combined with class-weighted, L2-regularized logistic heads, the conflated labels separated.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752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Improvement</w:t>
            </w:r>
          </w:p>
        </w:tc>
        <w:tc>
          <w:tcPr>
            <w:tcW w:type="dxa" w:w="5040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Per-label cost-aware thresholds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Fixed clickInjection / inventorySpoofing (0.25 → 1.0)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Real Platt calibration (was identity)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Honest probabilities; lower calibration error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Fitted, class-weighted logistic heads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Replaced a one-shot mean-difference rule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+5 behavioural-evidence features + a new layer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De-conflated clickSpam, incentivized, low-value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+8 non-linear interaction units (a new layer)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Captured AND/OR evidence combinations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Larger, balanced corpus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Stable fitting and calibration for every label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Calibration — are the probabilities honest?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A confidence score is only useful if it means what it says. The earlier model applied </w:t>
      </w:r>
      <w:r>
        <w:rPr>
          <w:rFonts w:ascii="Calibri" w:hAnsi="Calibri"/>
          <w:b/>
          <w:i w:val="0"/>
          <w:color w:val="141B2E"/>
          <w:sz w:val="21"/>
        </w:rPr>
        <w:t>no</w:t>
      </w:r>
      <w:r>
        <w:rPr>
          <w:rFonts w:ascii="Calibri" w:hAnsi="Calibri"/>
          <w:i w:val="0"/>
          <w:color w:val="141B2E"/>
          <w:sz w:val="21"/>
        </w:rPr>
        <w:t xml:space="preserve"> calibration (it claimed to test Platt / isotonic / temperature but applied identity). The current model fits </w:t>
      </w:r>
      <w:r>
        <w:rPr>
          <w:rFonts w:ascii="Calibri" w:hAnsi="Calibri"/>
          <w:b/>
          <w:i w:val="0"/>
          <w:color w:val="141B2E"/>
          <w:sz w:val="21"/>
        </w:rPr>
        <w:t>real per-label Platt scaling</w:t>
      </w:r>
      <w:r>
        <w:rPr>
          <w:rFonts w:ascii="Calibri" w:hAnsi="Calibri"/>
          <w:i w:val="0"/>
          <w:color w:val="141B2E"/>
          <w:sz w:val="21"/>
        </w:rPr>
        <w:t xml:space="preserve"> on a held-out calibration split, so a 0.9 genuinely means roughly 90% likely. That is what makes the response bands — and any future review-capacity threshold — trustworthy.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The deterministic workflow and the leakage audit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Quality numbers are only meaningful if the evaluation is honest. The workflow enforces this: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Leakage-safe split</w:t>
      </w:r>
      <w:r>
        <w:rPr>
          <w:rFonts w:ascii="Calibri" w:hAnsi="Calibri"/>
          <w:i w:val="0"/>
          <w:color w:val="141B2E"/>
          <w:sz w:val="21"/>
        </w:rPr>
        <w:t xml:space="preserve"> — by scenario, campaign episode, and deterministic replicate block, with an adversarial holdout. The audit </w:t>
      </w:r>
      <w:r>
        <w:rPr>
          <w:rFonts w:ascii="Calibri" w:hAnsi="Calibri"/>
          <w:b/>
          <w:i w:val="0"/>
          <w:color w:val="141B2E"/>
          <w:sz w:val="21"/>
        </w:rPr>
        <w:t>fails the run</w:t>
      </w:r>
      <w:r>
        <w:rPr>
          <w:rFonts w:ascii="Calibri" w:hAnsi="Calibri"/>
          <w:i w:val="0"/>
          <w:color w:val="141B2E"/>
          <w:sz w:val="21"/>
        </w:rPr>
        <w:t xml:space="preserve"> if any device / click / campaign identifier crosses split boundaries.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Reproducible</w:t>
      </w:r>
      <w:r>
        <w:rPr>
          <w:rFonts w:ascii="Calibri" w:hAnsi="Calibri"/>
          <w:i w:val="0"/>
          <w:color w:val="141B2E"/>
          <w:sz w:val="21"/>
        </w:rPr>
        <w:t xml:space="preserve"> — for a fixed seed, the same command produces the same corpus, the same metrics, and the same exported bundle.</w:t>
      </w:r>
    </w:p>
    <w:p>
      <w:pPr>
        <w:pStyle w:val="ListBullet"/>
        <w:spacing w:after="60" w:line="269" w:lineRule="auto"/>
        <w:ind w:left="403"/>
      </w:pPr>
      <w:r>
        <w:rPr>
          <w:rFonts w:ascii="Calibri" w:hAnsi="Calibri"/>
          <w:b/>
          <w:i w:val="0"/>
          <w:color w:val="141B2E"/>
          <w:sz w:val="21"/>
        </w:rPr>
        <w:t>Privacy-checked</w:t>
      </w:r>
      <w:r>
        <w:rPr>
          <w:rFonts w:ascii="Calibri" w:hAnsi="Calibri"/>
          <w:i w:val="0"/>
          <w:color w:val="141B2E"/>
          <w:sz w:val="21"/>
        </w:rPr>
        <w:t xml:space="preserve"> — identifiers are HMAC-pseudonymised; raw IPs, precise geo, and user-agents are never exported; missing is distinct from zero.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The deployable network and the Java test suite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run also produced and validated the </w:t>
      </w:r>
      <w:r>
        <w:rPr>
          <w:rFonts w:ascii="Calibri" w:hAnsi="Calibri"/>
          <w:b/>
          <w:i w:val="0"/>
          <w:color w:val="141B2E"/>
          <w:sz w:val="21"/>
        </w:rPr>
        <w:t>deployable JNeopallium network</w:t>
      </w:r>
      <w:r>
        <w:rPr>
          <w:rFonts w:ascii="Calibri" w:hAnsi="Calibri"/>
          <w:i w:val="0"/>
          <w:color w:val="141B2E"/>
          <w:sz w:val="21"/>
        </w:rPr>
        <w:t xml:space="preserve">: eight layer files plus </w:t>
      </w: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 describing 8 layers, 22 real neurons, and 21 features, each neuron referencing a concrete runtime class, with the calibrated heads and the non-linear hidden layer embedded. The Java runtime loads this bundle, verifies its checksums, and evaluates the hidden layer — so </w:t>
      </w:r>
      <w:r>
        <w:rPr>
          <w:rFonts w:ascii="Calibri" w:hAnsi="Calibri"/>
          <w:b/>
          <w:i w:val="0"/>
          <w:color w:val="141B2E"/>
          <w:sz w:val="21"/>
        </w:rPr>
        <w:t>the artifact that was tested is the artifact that deploys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The Java test suite — </w:t>
      </w:r>
      <w:r>
        <w:rPr>
          <w:rFonts w:ascii="Calibri" w:hAnsi="Calibri"/>
          <w:b/>
          <w:i w:val="0"/>
          <w:color w:val="141B2E"/>
          <w:sz w:val="21"/>
        </w:rPr>
        <w:t>12 tests</w:t>
      </w:r>
      <w:r>
        <w:rPr>
          <w:rFonts w:ascii="Calibri" w:hAnsi="Calibri"/>
          <w:i w:val="0"/>
          <w:color w:val="141B2E"/>
          <w:sz w:val="21"/>
        </w:rPr>
        <w:t xml:space="preserve"> covering event-type coverage, signal cadences, the deterministic integrity rules, the baseline-freeze and graph-TTL behaviour, the advisory-only response gate, bundle loading with checksum verification, the descriptor / layer structure, the interface-typed processors, and the HTTP scoring service — </w:t>
      </w:r>
      <w:r>
        <w:rPr>
          <w:rFonts w:ascii="Calibri" w:hAnsi="Calibri"/>
          <w:b/>
          <w:i w:val="0"/>
          <w:color w:val="141B2E"/>
          <w:sz w:val="21"/>
        </w:rPr>
        <w:t>passes 12 / 12</w:t>
      </w:r>
      <w:r>
        <w:rPr>
          <w:rFonts w:ascii="Calibri" w:hAnsi="Calibri"/>
          <w:i w:val="0"/>
          <w:color w:val="141B2E"/>
          <w:sz w:val="21"/>
        </w:rPr>
        <w:t>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The honest limitations (read this carefully)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The reference corpus is synthetic plus weak labels.</w:t>
      </w:r>
      <w:r>
        <w:rPr>
          <w:rFonts w:ascii="Calibri" w:hAnsi="Calibri"/>
          <w:i w:val="0"/>
          <w:color w:val="141B2E"/>
          <w:sz w:val="21"/>
        </w:rPr>
        <w:t xml:space="preserve"> A deterministic simulator supplies the fraud classes that lack public labels, augmented with weak public-source metadata. Near-perfect scores confirm the pipeline and label separation — not real-world accuracy.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Real accuracy must be earned on first-party labels.</w:t>
      </w:r>
      <w:r>
        <w:rPr>
          <w:rFonts w:ascii="Calibri" w:hAnsi="Calibri"/>
          <w:i w:val="0"/>
          <w:color w:val="141B2E"/>
          <w:sz w:val="21"/>
        </w:rPr>
        <w:t xml:space="preserve"> Genuine production claims require confirmed chargebacks, MMP fraud rulings, and analyst verdicts, with forward-time and unseen-publisher validation, false-positive financial-cost limits, and a documented data-handling review.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102A54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Advisory-only, and never an accusation.</w:t>
      </w:r>
      <w:r>
        <w:rPr>
          <w:rFonts w:ascii="Calibri" w:hAnsi="Calibri"/>
          <w:i w:val="0"/>
          <w:color w:val="141B2E"/>
          <w:sz w:val="21"/>
        </w:rPr>
        <w:t xml:space="preserve"> The model emits invalid-traffic evidence and candidate actions; it never blocks, withholds money, or asserts that a named person committed fraud. </w:t>
      </w:r>
      <w:r>
        <w:rPr>
          <w:rFonts w:ascii="Consolas" w:hAnsi="Consolas"/>
          <w:color w:val="102A54"/>
          <w:sz w:val="20"/>
        </w:rPr>
        <w:t>AUTOMATED_ACTION_READY</w:t>
      </w:r>
      <w:r>
        <w:rPr>
          <w:rFonts w:ascii="Calibri" w:hAnsi="Calibri"/>
          <w:i w:val="0"/>
          <w:color w:val="141B2E"/>
          <w:sz w:val="21"/>
        </w:rPr>
        <w:t xml:space="preserve"> stays false until validation, legal review, and appeal/rollback exist.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Why we lead with the caveat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A fraud product that blurs the line between pipeline evidence and field accuracy cannot be trusted near a payout decision. The honesty is part of the product: every advisory carries its evidence, and every claim in this report carries its scope.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Overall verdict and readiness</w:t>
      </w:r>
    </w:p>
    <w:p>
      <w:pPr>
        <w:spacing w:after="120"/>
      </w:pPr>
      <w:r>
        <w:rPr>
          <w:rFonts w:ascii="Calibri" w:hAnsi="Calibri"/>
          <w:b/>
          <w:i w:val="0"/>
          <w:color w:val="141B2E"/>
          <w:sz w:val="21"/>
        </w:rPr>
        <w:t>The Ad-Fraud Guardian passes every test at every level on the reference corpus, and a recent upgrade lifted macro-F1 from 0.66 to 0.97.</w:t>
      </w:r>
      <w:r>
        <w:rPr>
          <w:rFonts w:ascii="Calibri" w:hAnsi="Calibri"/>
          <w:i w:val="0"/>
          <w:color w:val="141B2E"/>
          <w:sz w:val="21"/>
        </w:rPr>
        <w:t xml:space="preserve"> The ten labels separate with honest, well-calibrated probabilities; the workflow is leakage-safe and reproducible; the deployable network loads and the Java suite is green; and the safety ceiling (advisory, no accusation) is preserved throughout.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Readiness: </w:t>
      </w:r>
      <w:r>
        <w:rPr>
          <w:rFonts w:ascii="Calibri" w:hAnsi="Calibri"/>
          <w:b/>
          <w:i w:val="0"/>
          <w:color w:val="141B2E"/>
          <w:sz w:val="21"/>
        </w:rPr>
        <w:t>ENGINEERING_READY, SHADOW_READY, ADVISORY_READY = true; AUTOMATED_ACTION_READY = false.</w:t>
      </w:r>
      <w:r>
        <w:rPr>
          <w:rFonts w:ascii="Calibri" w:hAnsi="Calibri"/>
          <w:i w:val="0"/>
          <w:color w:val="141B2E"/>
          <w:sz w:val="21"/>
        </w:rPr>
        <w:t xml:space="preserve"> The system is ready for the next stage — offline replay and shadow validation on real first-party traffic, which is the only thing that can convert this strong pipeline evidence into a field-accuracy claim.</w:t>
      </w:r>
    </w:p>
    <w:p>
      <w:pPr>
        <w:keepNext/>
        <w:spacing w:before="320" w:after="40"/>
        <w:pBdr>
          <w:bottom w:val="single" w:sz="10" w:space="4" w:color="102A54"/>
        </w:pBdr>
      </w:pPr>
      <w:r>
        <w:rPr>
          <w:rFonts w:ascii="Calibri" w:hAnsi="Calibri"/>
          <w:b/>
          <w:color w:val="102A54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168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02A5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Multi-label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Several independent fraud labels can be true for one event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Precision / recall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Share of flags that were right / share of real cases caught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Detection quality averaged equally across the ten labels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AUC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How well the score ranks fraud above non-fraud, independent of threshold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Calibration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Whether a confidence score means what it says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Platt scaling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 standard way to turn raw scores into honest probabilities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Leakage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When near-duplicate data leaks across train/test and inflates scores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Adversarial holdout</w:t>
            </w:r>
          </w:p>
        </w:tc>
        <w:tc>
          <w:tcPr>
            <w:tcW w:type="dxa" w:w="662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Attack types kept fully unseen until evaluation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Advisory / shadow</w:t>
            </w:r>
          </w:p>
        </w:tc>
        <w:tc>
          <w:tcPr>
            <w:tcW w:type="dxa" w:w="662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The system recommends; it never blocks or withholds on its own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Complete Test Report. Results are pipeline evidence on a deterministic reference corpus plus weak labels — not a real-world accuracy claim. Safety mode: ADVISORY / SHADOW. License: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Multi-label invalid-traffic advisory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