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AD-FRAUD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ЗВІТ ПРО ТЕСТУВАННЯ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Повний звіт про тестування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Багатоміткове виявлення невалідного трафіку — результати, оновлення, що їх підняло, і чесне прочитання</w:t>
      </w:r>
    </w:p>
    <w:p>
      <w:pPr>
        <w:pBdr>
          <w:bottom w:val="single" w:sz="10" w:space="4" w:color="102A54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Що тестували, як воно показало себе, що змінило нещодавнє оновлення і — прямо й наперед — що саме результати доводять, а що ні. Написано так, щоб нефахівець міг упевнено прочитати кожне число.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Документ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Звіт про верифікацію та тестування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Продукт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Ad-Fraud Guardian (модуль advertising-fraud)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Модель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advertising-fraud 1.0.0-reference-advisory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Заголовок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macro-F1 0.66 → 0.97 після навмисного оновлення моделі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Результат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Усі перевірки пройдено (еталонний корпус); 12/12 тестів Java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Автор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Дмитро Раковський — Харків, Україна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Дата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23 червня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Ліцензія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>Зміст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Стислий огляд результатів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Що ми тестували і навіщо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Тестове середовище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Метрики простою мовою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Якість моделі — на мітку, до і після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Оновлення, що підняло оцінку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Калібрування — чи чесні ймовірності?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Детермінований процес і аудит витоку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Готова до розгортання мережа і набір тестів Java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Чесні обмеження (прочитайте уважно)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11.  </w:t>
      </w:r>
      <w:r>
        <w:rPr>
          <w:rFonts w:ascii="Calibri" w:hAnsi="Calibri"/>
          <w:color w:val="141B2E"/>
          <w:sz w:val="21"/>
        </w:rPr>
        <w:t>Загальний вердикт і готовність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12.  </w:t>
      </w:r>
      <w:r>
        <w:rPr>
          <w:rFonts w:ascii="Calibri" w:hAnsi="Calibri"/>
          <w:color w:val="141B2E"/>
          <w:sz w:val="21"/>
        </w:rPr>
        <w:t>Словник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Стислий огляд результатів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Ad-Fraud Guardian перевірено на чотирьох незалежних рівнях: </w:t>
      </w:r>
      <w:r>
        <w:rPr>
          <w:rFonts w:ascii="Calibri" w:hAnsi="Calibri"/>
          <w:b/>
          <w:i w:val="0"/>
          <w:color w:val="141B2E"/>
          <w:sz w:val="21"/>
        </w:rPr>
        <w:t>якість моделі</w:t>
      </w:r>
      <w:r>
        <w:rPr>
          <w:rFonts w:ascii="Calibri" w:hAnsi="Calibri"/>
          <w:i w:val="0"/>
          <w:color w:val="141B2E"/>
          <w:sz w:val="21"/>
        </w:rPr>
        <w:t xml:space="preserve"> (наскільки добре вона розділяє кожну родину фроду), </w:t>
      </w:r>
      <w:r>
        <w:rPr>
          <w:rFonts w:ascii="Calibri" w:hAnsi="Calibri"/>
          <w:b/>
          <w:i w:val="0"/>
          <w:color w:val="141B2E"/>
          <w:sz w:val="21"/>
        </w:rPr>
        <w:t>калібрування</w:t>
      </w:r>
      <w:r>
        <w:rPr>
          <w:rFonts w:ascii="Calibri" w:hAnsi="Calibri"/>
          <w:i w:val="0"/>
          <w:color w:val="141B2E"/>
          <w:sz w:val="21"/>
        </w:rPr>
        <w:t xml:space="preserve"> (чи чесні її ймовірності), </w:t>
      </w:r>
      <w:r>
        <w:rPr>
          <w:rFonts w:ascii="Calibri" w:hAnsi="Calibri"/>
          <w:b/>
          <w:i w:val="0"/>
          <w:color w:val="141B2E"/>
          <w:sz w:val="21"/>
        </w:rPr>
        <w:t>цілісність процесу</w:t>
      </w:r>
      <w:r>
        <w:rPr>
          <w:rFonts w:ascii="Calibri" w:hAnsi="Calibri"/>
          <w:i w:val="0"/>
          <w:color w:val="141B2E"/>
          <w:sz w:val="21"/>
        </w:rPr>
        <w:t xml:space="preserve"> (без витоку, відтворювано) та </w:t>
      </w:r>
      <w:r>
        <w:rPr>
          <w:rFonts w:ascii="Calibri" w:hAnsi="Calibri"/>
          <w:b/>
          <w:i w:val="0"/>
          <w:color w:val="141B2E"/>
          <w:sz w:val="21"/>
        </w:rPr>
        <w:t>середовище виконання</w:t>
      </w:r>
      <w:r>
        <w:rPr>
          <w:rFonts w:ascii="Calibri" w:hAnsi="Calibri"/>
          <w:i w:val="0"/>
          <w:color w:val="141B2E"/>
          <w:sz w:val="21"/>
        </w:rPr>
        <w:t xml:space="preserve"> (готова мережа завантажується, набір Java проходить). Усі перевірки пройдено, а нещодавнє навмисне оновлення різко підняло головне число.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44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Рівень тестів</w:t>
            </w:r>
          </w:p>
        </w:tc>
        <w:tc>
          <w:tcPr>
            <w:tcW w:type="dxa" w:w="446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Що перевіряє</w:t>
            </w:r>
          </w:p>
        </w:tc>
        <w:tc>
          <w:tcPr>
            <w:tcW w:type="dxa" w:w="2880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Якість моделі</w:t>
            </w:r>
          </w:p>
        </w:tc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Точність / повнота / F1 на мітку, macro-F1</w:t>
            </w:r>
          </w:p>
        </w:tc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macro-F1 ≈ 0.97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(було 0.66)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Калібрування</w:t>
            </w:r>
          </w:p>
        </w:tc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Чи означає бал 0.9 ~90% імовірності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Справжнє Platt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на мітку (було тотожність)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Процес</w:t>
            </w:r>
          </w:p>
        </w:tc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Розбиття без витоку, відтворюваність</w:t>
            </w:r>
          </w:p>
        </w:tc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Пройдено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— аудит чистий, детерміновано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Виконання</w:t>
            </w:r>
          </w:p>
        </w:tc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Пакет завантажується, тести Java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Пройдено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— 12/12 тестів Java зелені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Найважливіше речення цього звіту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Майже ідеальні оцінки — на детермінованому симуляторі плюс слабких публічних метаданих, з оцінкою без витоку. Вони доводять конвеєр і розділення міток — це НЕ твердження про реальну точність, яку треба заслужити на власному розміченому промисловому трафіку. До того часу модель лишається SHADOW/ADVISORY. Ми зазначаємо це тут, на початку, навмисно.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Що ми тестували і навіщо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Продукт проти невалідного трафіку заслуговує довіру, коли його тестують так, як він використовуватиметься — не просто «чи запускається», а «чи називає правильний фрод, чи калібрує впевненість і чи відмовляється перезвинувачувати». Тому верифікація багаторівнева: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Кожна родина фроду</w:t>
      </w:r>
      <w:r>
        <w:rPr>
          <w:rFonts w:ascii="Calibri" w:hAnsi="Calibri"/>
          <w:i w:val="0"/>
          <w:color w:val="141B2E"/>
          <w:sz w:val="21"/>
        </w:rPr>
        <w:t xml:space="preserve"> — на відкладених подіях, чи відділяє кожна з десяти міток свій вид фроду від усього іншого і чи достатньо висока точність, щоб діяти?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Ймовірності</w:t>
      </w:r>
      <w:r>
        <w:rPr>
          <w:rFonts w:ascii="Calibri" w:hAnsi="Calibri"/>
          <w:i w:val="0"/>
          <w:color w:val="141B2E"/>
          <w:sz w:val="21"/>
        </w:rPr>
        <w:t xml:space="preserve"> — чи справді 0.9 означає приблизно 90%, тож аналітики й пороги можуть їм довіряти?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Процес</w:t>
      </w:r>
      <w:r>
        <w:rPr>
          <w:rFonts w:ascii="Calibri" w:hAnsi="Calibri"/>
          <w:i w:val="0"/>
          <w:color w:val="141B2E"/>
          <w:sz w:val="21"/>
        </w:rPr>
        <w:t xml:space="preserve"> — чи розбиття без витоку (жоден ідентифікатор не перетинає train/test) і чи запуск відтворюваний для фіксованого сіда?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Середовище виконання</w:t>
      </w:r>
      <w:r>
        <w:rPr>
          <w:rFonts w:ascii="Calibri" w:hAnsi="Calibri"/>
          <w:i w:val="0"/>
          <w:color w:val="141B2E"/>
          <w:sz w:val="21"/>
        </w:rPr>
        <w:t xml:space="preserve"> — чи завантажується експортована мережа з перевіреними контрольними сумами і чи проходить набір тестів Java?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Тестове середовище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2880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Пункт</w:t>
            </w:r>
          </w:p>
        </w:tc>
        <w:tc>
          <w:tcPr>
            <w:tcW w:type="dxa" w:w="6912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Значення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Платформа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Багатомодульний проєкт Maven Jneopallium (master + worker)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Середовище виконання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Скорер на Java 17+; процес на Python 3 (без сторонніх пакетів)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Модель під тестом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advertising-fraud, 1.0.0-reference-advisory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Задача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Багатоміткова: десять незалежних міток невалідного трафіку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Мережа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8 рівнів, 22 нейрони, 21 ознака (8 базових + 5 доказів + 8 взаємодій)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Режим безпеки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ADVISORY / SHADOW; AUTOMATED_ACTION_READY = false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Еталонна команда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python scripts/demo-ad-fraud/run_all.py --offline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Детермінізм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Відтворювано для фіксованого сіда: та сама команда → ті самі метрики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Метрики простою мовою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«Приклад» — це одна рекламна подія, яку модель позначає. Метрики класифікації: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592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Метрика</w:t>
            </w:r>
          </w:p>
        </w:tc>
        <w:tc>
          <w:tcPr>
            <w:tcW w:type="dxa" w:w="518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Значення простою мовою</w:t>
            </w:r>
          </w:p>
        </w:tc>
        <w:tc>
          <w:tcPr>
            <w:tcW w:type="dxa" w:w="2016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Найкраще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Точність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Зі подій, позначених міткою, скільки справді її мали</w:t>
            </w:r>
          </w:p>
        </w:tc>
        <w:tc>
          <w:tcPr>
            <w:tcW w:type="dxa" w:w="20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 (без хибних тривог)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Повнота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Зі справжніх випадків мітки скільки зловлено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 (нічого не пропущено)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F1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Єдина справедлива суміш точності й повноти</w:t>
            </w:r>
          </w:p>
        </w:tc>
        <w:tc>
          <w:tcPr>
            <w:tcW w:type="dxa" w:w="20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Macro-F1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F1, усереднений порівну по всіх десяти мітках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PR / ROC-AUC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Наскільки добре бал *ранжує* фрод над не-фродом</w:t>
            </w:r>
          </w:p>
        </w:tc>
        <w:tc>
          <w:tcPr>
            <w:tcW w:type="dxa" w:w="20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Похибка калібрування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Наскільки бал 0.9 далекий від справжніх 90%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0.0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Ранжування проти порога — чому важливі обидва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Голова може ранжувати ідеально (AUC 1.0), але мати поганий F1, якщо її поріг рішення неправильний. Попередня модель провалилася саме так на двох мітках; оновлення виправило пороги й калібрування та додало докази, яких бракувало конфліктним міткам.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Якість моделі — на мітку, до і після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Кожну мітку оцінено на відкладеному розбитті без витоку (включно з ворожим холдаутом). Нещодавнє оновлення покращило або втримало кожну мітку; macro-F1 зріс із </w:t>
      </w:r>
      <w:r>
        <w:rPr>
          <w:rFonts w:ascii="Calibri" w:hAnsi="Calibri"/>
          <w:b/>
          <w:i w:val="0"/>
          <w:color w:val="141B2E"/>
          <w:sz w:val="21"/>
        </w:rPr>
        <w:t>0.66 до 0.97</w:t>
      </w:r>
      <w:r>
        <w:rPr>
          <w:rFonts w:ascii="Calibri" w:hAnsi="Calibri"/>
          <w:i w:val="0"/>
          <w:color w:val="141B2E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1835"/>
        <w:gridCol w:w="1835"/>
        <w:gridCol w:w="1835"/>
        <w:gridCol w:w="1835"/>
        <w:gridCol w:w="1835"/>
      </w:tblGrid>
      <w:tr>
        <w:tc>
          <w:tcPr>
            <w:tcW w:type="dxa" w:w="3312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Мітка фроду</w:t>
            </w:r>
          </w:p>
        </w:tc>
        <w:tc>
          <w:tcPr>
            <w:tcW w:type="dxa" w:w="1440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F1 до</w:t>
            </w:r>
          </w:p>
        </w:tc>
        <w:tc>
          <w:tcPr>
            <w:tcW w:type="dxa" w:w="158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F1 після</w:t>
            </w:r>
          </w:p>
        </w:tc>
        <w:tc>
          <w:tcPr>
            <w:tcW w:type="dxa" w:w="1872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Точність після</w:t>
            </w:r>
          </w:p>
        </w:tc>
        <w:tc>
          <w:tcPr>
            <w:tcW w:type="dxa" w:w="172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Повнота після</w:t>
            </w:r>
          </w:p>
        </w:tc>
      </w:tr>
      <w:tr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bot</w:t>
            </w:r>
          </w:p>
        </w:tc>
        <w:tc>
          <w:tcPr>
            <w:tcW w:type="dxa" w:w="14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8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7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eventSpoofing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attributionHijack</w:t>
            </w:r>
          </w:p>
        </w:tc>
        <w:tc>
          <w:tcPr>
            <w:tcW w:type="dxa" w:w="14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8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7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unknownSuspicious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clickInjection</w:t>
            </w:r>
          </w:p>
        </w:tc>
        <w:tc>
          <w:tcPr>
            <w:tcW w:type="dxa" w:w="14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0.25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8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7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inventorySpoofing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0.25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incentivized</w:t>
            </w:r>
          </w:p>
        </w:tc>
        <w:tc>
          <w:tcPr>
            <w:tcW w:type="dxa" w:w="14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0.67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8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7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clickFarm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0.67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clickSpam</w:t>
            </w:r>
          </w:p>
        </w:tc>
        <w:tc>
          <w:tcPr>
            <w:tcW w:type="dxa" w:w="14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0.29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0.98</w:t>
            </w:r>
          </w:p>
        </w:tc>
        <w:tc>
          <w:tcPr>
            <w:tcW w:type="dxa" w:w="18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0.95</w:t>
            </w:r>
          </w:p>
        </w:tc>
        <w:tc>
          <w:tcPr>
            <w:tcW w:type="dxa" w:w="17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accidentalOrLowValue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0.44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0.69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0.52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b/>
          <w:i w:val="0"/>
          <w:color w:val="141B2E"/>
          <w:sz w:val="21"/>
        </w:rPr>
        <w:t>macro-F1: 0.656 → 0.966.</w:t>
      </w:r>
      <w:r>
        <w:rPr>
          <w:rFonts w:ascii="Calibri" w:hAnsi="Calibri"/>
          <w:i w:val="0"/>
          <w:color w:val="141B2E"/>
          <w:sz w:val="21"/>
        </w:rPr>
        <w:t xml:space="preserve"> Кожну раніше зламану голову виправлено. Єдина слабка точка, що лишилася, </w:t>
      </w:r>
      <w:r>
        <w:rPr>
          <w:rFonts w:ascii="Consolas" w:hAnsi="Consolas"/>
          <w:color w:val="102A54"/>
          <w:sz w:val="20"/>
        </w:rPr>
        <w:t>accidentalOrLowValue</w:t>
      </w:r>
      <w:r>
        <w:rPr>
          <w:rFonts w:ascii="Calibri" w:hAnsi="Calibri"/>
          <w:i w:val="0"/>
          <w:color w:val="141B2E"/>
          <w:sz w:val="21"/>
        </w:rPr>
        <w:t xml:space="preserve"> (0.69), — це навмисно розмита *об'єднана* мітка: випадкові кліки, низькоконверсійний трафік і мотивовані інсталяції — усе зведено в неї, тож вона внутрішньо складніша, і підняти її вище потребує власних міток, а не більше архітектури.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Оновлення, що підняло оцінку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Стрибок стався завдяки діагнозу, а не вгадуванню. Попередня модель провалювалася двома різними способами, кожен виправлено конкретною зміною: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Провали порогів / калібрування (дешево виправити)</w:t>
      </w:r>
    </w:p>
    <w:p>
      <w:pPr>
        <w:spacing w:after="120"/>
      </w:pPr>
      <w:r>
        <w:rPr>
          <w:rFonts w:ascii="Consolas" w:hAnsi="Consolas"/>
          <w:color w:val="102A54"/>
          <w:sz w:val="20"/>
        </w:rPr>
        <w:t>clickInjection</w:t>
      </w:r>
      <w:r>
        <w:rPr>
          <w:rFonts w:ascii="Calibri" w:hAnsi="Calibri"/>
          <w:i w:val="0"/>
          <w:color w:val="141B2E"/>
          <w:sz w:val="21"/>
        </w:rPr>
        <w:t xml:space="preserve"> та </w:t>
      </w:r>
      <w:r>
        <w:rPr>
          <w:rFonts w:ascii="Consolas" w:hAnsi="Consolas"/>
          <w:color w:val="102A54"/>
          <w:sz w:val="20"/>
        </w:rPr>
        <w:t>inventorySpoofing</w:t>
      </w:r>
      <w:r>
        <w:rPr>
          <w:rFonts w:ascii="Calibri" w:hAnsi="Calibri"/>
          <w:i w:val="0"/>
          <w:color w:val="141B2E"/>
          <w:sz w:val="21"/>
        </w:rPr>
        <w:t xml:space="preserve"> ранжували ідеально (AUC 1.0), але мали F1 0.25, бо їхній поріг рішення позначав *усе*, а калібрування було пустим. Виправлення порогів на мітку, додавання справжнього Platt-калібрування й надання цим ворожим родинам покриття в навчанні підняли обидві до 1.0.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Конфліктні мітки (потрібна нова потужність моделі)</w:t>
      </w:r>
    </w:p>
    <w:p>
      <w:pPr>
        <w:spacing w:after="120"/>
      </w:pPr>
      <w:r>
        <w:rPr>
          <w:rFonts w:ascii="Consolas" w:hAnsi="Consolas"/>
          <w:color w:val="102A54"/>
          <w:sz w:val="20"/>
        </w:rPr>
        <w:t>clickSpam</w:t>
      </w:r>
      <w:r>
        <w:rPr>
          <w:rFonts w:ascii="Calibri" w:hAnsi="Calibri"/>
          <w:i w:val="0"/>
          <w:color w:val="141B2E"/>
          <w:sz w:val="21"/>
        </w:rPr>
        <w:t xml:space="preserve"> мала тотожну голову з </w:t>
      </w:r>
      <w:r>
        <w:rPr>
          <w:rFonts w:ascii="Consolas" w:hAnsi="Consolas"/>
          <w:color w:val="102A54"/>
          <w:sz w:val="20"/>
        </w:rPr>
        <w:t>attributionHijack</w:t>
      </w:r>
      <w:r>
        <w:rPr>
          <w:rFonts w:ascii="Calibri" w:hAnsi="Calibri"/>
          <w:i w:val="0"/>
          <w:color w:val="141B2E"/>
          <w:sz w:val="21"/>
        </w:rPr>
        <w:t xml:space="preserve">, а </w:t>
      </w:r>
      <w:r>
        <w:rPr>
          <w:rFonts w:ascii="Consolas" w:hAnsi="Consolas"/>
          <w:color w:val="102A54"/>
          <w:sz w:val="20"/>
        </w:rPr>
        <w:t>incentivized</w:t>
      </w:r>
      <w:r>
        <w:rPr>
          <w:rFonts w:ascii="Calibri" w:hAnsi="Calibri"/>
          <w:i w:val="0"/>
          <w:color w:val="141B2E"/>
          <w:sz w:val="21"/>
        </w:rPr>
        <w:t xml:space="preserve"> — із </w:t>
      </w:r>
      <w:r>
        <w:rPr>
          <w:rFonts w:ascii="Consolas" w:hAnsi="Consolas"/>
          <w:color w:val="102A54"/>
          <w:sz w:val="20"/>
        </w:rPr>
        <w:t>clickFarm</w:t>
      </w:r>
      <w:r>
        <w:rPr>
          <w:rFonts w:ascii="Calibri" w:hAnsi="Calibri"/>
          <w:i w:val="0"/>
          <w:color w:val="141B2E"/>
          <w:sz w:val="21"/>
        </w:rPr>
        <w:t xml:space="preserve">: 8 базових ознак не могли відрізнити схожих. Це виправили два нові рівні: </w:t>
      </w:r>
      <w:r>
        <w:rPr>
          <w:rFonts w:ascii="Calibri" w:hAnsi="Calibri"/>
          <w:b/>
          <w:i w:val="0"/>
          <w:color w:val="141B2E"/>
          <w:sz w:val="21"/>
        </w:rPr>
        <w:t>рівень поведінкових доказів</w:t>
      </w:r>
      <w:r>
        <w:rPr>
          <w:rFonts w:ascii="Calibri" w:hAnsi="Calibri"/>
          <w:i w:val="0"/>
          <w:color w:val="141B2E"/>
          <w:sz w:val="21"/>
        </w:rPr>
        <w:t xml:space="preserve"> (однопризначені нейрони, що видають ознаки обсягу кліків, часу конверсії, мотивації й низької цінності) та </w:t>
      </w:r>
      <w:r>
        <w:rPr>
          <w:rFonts w:ascii="Calibri" w:hAnsi="Calibri"/>
          <w:b/>
          <w:i w:val="0"/>
          <w:color w:val="141B2E"/>
          <w:sz w:val="21"/>
        </w:rPr>
        <w:t>нелінійний рівень взаємодії ознак</w:t>
      </w:r>
      <w:r>
        <w:rPr>
          <w:rFonts w:ascii="Calibri" w:hAnsi="Calibri"/>
          <w:i w:val="0"/>
          <w:color w:val="141B2E"/>
          <w:sz w:val="21"/>
        </w:rPr>
        <w:t>. Разом із класово-зваженими, L2-регуляризованими логістичними головами конфліктні мітки розділилися.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752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Покращення</w:t>
            </w:r>
          </w:p>
        </w:tc>
        <w:tc>
          <w:tcPr>
            <w:tcW w:type="dxa" w:w="5040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Ефект</w:t>
            </w:r>
          </w:p>
        </w:tc>
      </w:tr>
      <w:tr>
        <w:tc>
          <w:tcPr>
            <w:tcW w:type="dxa" w:w="47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Пороги на мітку з урахуванням вартості</w:t>
            </w:r>
          </w:p>
        </w:tc>
        <w:tc>
          <w:tcPr>
            <w:tcW w:type="dxa" w:w="50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Виправили clickInjection / inventorySpoofing (0.25 → 1.0)</w:t>
            </w:r>
          </w:p>
        </w:tc>
      </w:tr>
      <w:tr>
        <w:tc>
          <w:tcPr>
            <w:tcW w:type="dxa" w:w="475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Справжнє Platt-калібрування (було тотожність)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Чесні ймовірності; нижча похибка калібрування</w:t>
            </w:r>
          </w:p>
        </w:tc>
      </w:tr>
      <w:tr>
        <w:tc>
          <w:tcPr>
            <w:tcW w:type="dxa" w:w="47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Припасовані класово-зважені логістичні голови</w:t>
            </w:r>
          </w:p>
        </w:tc>
        <w:tc>
          <w:tcPr>
            <w:tcW w:type="dxa" w:w="50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Замінили одноразове правило різниці середніх</w:t>
            </w:r>
          </w:p>
        </w:tc>
      </w:tr>
      <w:tr>
        <w:tc>
          <w:tcPr>
            <w:tcW w:type="dxa" w:w="475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+5 поведінкових ознак + новий рівень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Розділили clickSpam, incentivized, низьку цінність</w:t>
            </w:r>
          </w:p>
        </w:tc>
      </w:tr>
      <w:tr>
        <w:tc>
          <w:tcPr>
            <w:tcW w:type="dxa" w:w="47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+8 нелінійних одиниць взаємодії (новий рівень)</w:t>
            </w:r>
          </w:p>
        </w:tc>
        <w:tc>
          <w:tcPr>
            <w:tcW w:type="dxa" w:w="50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Захопили комбінації доказів І/АБО</w:t>
            </w:r>
          </w:p>
        </w:tc>
      </w:tr>
      <w:tr>
        <w:tc>
          <w:tcPr>
            <w:tcW w:type="dxa" w:w="475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Більший збалансований корпус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Стабільне припасування й калібрування для кожної мітки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Калібрування — чи чесні ймовірності?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Оцінка впевненості корисна, лише якщо означає те, що каже. Попередня модель </w:t>
      </w:r>
      <w:r>
        <w:rPr>
          <w:rFonts w:ascii="Calibri" w:hAnsi="Calibri"/>
          <w:b/>
          <w:i w:val="0"/>
          <w:color w:val="141B2E"/>
          <w:sz w:val="21"/>
        </w:rPr>
        <w:t>не</w:t>
      </w:r>
      <w:r>
        <w:rPr>
          <w:rFonts w:ascii="Calibri" w:hAnsi="Calibri"/>
          <w:i w:val="0"/>
          <w:color w:val="141B2E"/>
          <w:sz w:val="21"/>
        </w:rPr>
        <w:t xml:space="preserve"> застосовувала калібрування (стверджувала, що тестує Platt / isotonic / temperature, але застосовувала тотожність). Поточна модель припасовує </w:t>
      </w:r>
      <w:r>
        <w:rPr>
          <w:rFonts w:ascii="Calibri" w:hAnsi="Calibri"/>
          <w:b/>
          <w:i w:val="0"/>
          <w:color w:val="141B2E"/>
          <w:sz w:val="21"/>
        </w:rPr>
        <w:t>справжнє Platt-масштабування на мітку</w:t>
      </w:r>
      <w:r>
        <w:rPr>
          <w:rFonts w:ascii="Calibri" w:hAnsi="Calibri"/>
          <w:i w:val="0"/>
          <w:color w:val="141B2E"/>
          <w:sz w:val="21"/>
        </w:rPr>
        <w:t xml:space="preserve"> на відкладеному розбитті калібрування, тож 0.9 справді означає приблизно 90%. Саме це робить смуги відповіді — і будь-який майбутній поріг ємності перегляду — гідними довіри.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Детермінований процес і аудит витоку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Числа якості мають сенс, лише якщо оцінка чесна. Процес це забезпечує: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Розбиття без витоку</w:t>
      </w:r>
      <w:r>
        <w:rPr>
          <w:rFonts w:ascii="Calibri" w:hAnsi="Calibri"/>
          <w:i w:val="0"/>
          <w:color w:val="141B2E"/>
          <w:sz w:val="21"/>
        </w:rPr>
        <w:t xml:space="preserve"> — за сценарієм, епізодом кампанії й детермінованим блоком реплік, із ворожим холдаутом. Аудит </w:t>
      </w:r>
      <w:r>
        <w:rPr>
          <w:rFonts w:ascii="Calibri" w:hAnsi="Calibri"/>
          <w:b/>
          <w:i w:val="0"/>
          <w:color w:val="141B2E"/>
          <w:sz w:val="21"/>
        </w:rPr>
        <w:t>провалює запуск</w:t>
      </w:r>
      <w:r>
        <w:rPr>
          <w:rFonts w:ascii="Calibri" w:hAnsi="Calibri"/>
          <w:i w:val="0"/>
          <w:color w:val="141B2E"/>
          <w:sz w:val="21"/>
        </w:rPr>
        <w:t>, якщо будь-який ідентифікатор пристрою / кліку / кампанії перетинає межі розбиття.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Відтворювано</w:t>
      </w:r>
      <w:r>
        <w:rPr>
          <w:rFonts w:ascii="Calibri" w:hAnsi="Calibri"/>
          <w:i w:val="0"/>
          <w:color w:val="141B2E"/>
          <w:sz w:val="21"/>
        </w:rPr>
        <w:t xml:space="preserve"> — для фіксованого сіда та сама команда дає той самий корпус, ті самі метрики й той самий експортований пакет.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Перевірено приватність</w:t>
      </w:r>
      <w:r>
        <w:rPr>
          <w:rFonts w:ascii="Calibri" w:hAnsi="Calibri"/>
          <w:i w:val="0"/>
          <w:color w:val="141B2E"/>
          <w:sz w:val="21"/>
        </w:rPr>
        <w:t xml:space="preserve"> — ідентифікатори HMAC-псевдонімізовані; сирі IP, точна гео й user-agent ніколи не експортуються; відсутнє окреме від нуля.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Готова до розгортання мережа і набір тестів Java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Запуск також створив і перевірив </w:t>
      </w:r>
      <w:r>
        <w:rPr>
          <w:rFonts w:ascii="Calibri" w:hAnsi="Calibri"/>
          <w:b/>
          <w:i w:val="0"/>
          <w:color w:val="141B2E"/>
          <w:sz w:val="21"/>
        </w:rPr>
        <w:t>готову до розгортання мережу JNeopallium</w:t>
      </w:r>
      <w:r>
        <w:rPr>
          <w:rFonts w:ascii="Calibri" w:hAnsi="Calibri"/>
          <w:i w:val="0"/>
          <w:color w:val="141B2E"/>
          <w:sz w:val="21"/>
        </w:rPr>
        <w:t xml:space="preserve">: вісім файлів рівнів плюс </w:t>
      </w:r>
      <w:r>
        <w:rPr>
          <w:rFonts w:ascii="Consolas" w:hAnsi="Consolas"/>
          <w:color w:val="102A54"/>
          <w:sz w:val="20"/>
        </w:rPr>
        <w:t>model-descriptor.json</w:t>
      </w:r>
      <w:r>
        <w:rPr>
          <w:rFonts w:ascii="Calibri" w:hAnsi="Calibri"/>
          <w:i w:val="0"/>
          <w:color w:val="141B2E"/>
          <w:sz w:val="21"/>
        </w:rPr>
        <w:t xml:space="preserve">, що описує 8 рівнів, 22 справжні нейрони й 21 ознаку, де кожен нейрон посилається на конкретний клас часу виконання, з вбудованими каліброваними головами й нелінійним прихованим рівнем. Середовище виконання Java завантажує цей пакет, перевіряє контрольні суми й обчислює прихований рівень — тож </w:t>
      </w:r>
      <w:r>
        <w:rPr>
          <w:rFonts w:ascii="Calibri" w:hAnsi="Calibri"/>
          <w:b/>
          <w:i w:val="0"/>
          <w:color w:val="141B2E"/>
          <w:sz w:val="21"/>
        </w:rPr>
        <w:t>протестований артефакт — це той самий артефакт, що розгортається</w:t>
      </w:r>
      <w:r>
        <w:rPr>
          <w:rFonts w:ascii="Calibri" w:hAnsi="Calibri"/>
          <w:i w:val="0"/>
          <w:color w:val="141B2E"/>
          <w:sz w:val="21"/>
        </w:rPr>
        <w:t>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Набір тестів Java — </w:t>
      </w:r>
      <w:r>
        <w:rPr>
          <w:rFonts w:ascii="Calibri" w:hAnsi="Calibri"/>
          <w:b/>
          <w:i w:val="0"/>
          <w:color w:val="141B2E"/>
          <w:sz w:val="21"/>
        </w:rPr>
        <w:t>12 тестів</w:t>
      </w:r>
      <w:r>
        <w:rPr>
          <w:rFonts w:ascii="Calibri" w:hAnsi="Calibri"/>
          <w:i w:val="0"/>
          <w:color w:val="141B2E"/>
          <w:sz w:val="21"/>
        </w:rPr>
        <w:t xml:space="preserve">, що охоплюють покриття типів подій, каданси сигналів, детерміновані правила цілісності, поведінку заморожування базової лінії й TTL графа, рекомендаційний запобіжник відповіді, завантаження пакета з перевіркою контрольних сум, структуру опису / рівнів, процесори за інтерфейсом і HTTP-службу скорингу — </w:t>
      </w:r>
      <w:r>
        <w:rPr>
          <w:rFonts w:ascii="Calibri" w:hAnsi="Calibri"/>
          <w:b/>
          <w:i w:val="0"/>
          <w:color w:val="141B2E"/>
          <w:sz w:val="21"/>
        </w:rPr>
        <w:t>проходить 12 / 12</w:t>
      </w:r>
      <w:r>
        <w:rPr>
          <w:rFonts w:ascii="Calibri" w:hAnsi="Calibri"/>
          <w:i w:val="0"/>
          <w:color w:val="141B2E"/>
          <w:sz w:val="21"/>
        </w:rPr>
        <w:t>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Чесні обмеження (прочитайте уважно)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02A54"/>
          <w:sz w:val="21"/>
        </w:rPr>
        <w:t xml:space="preserve">1.  </w:t>
      </w:r>
      <w:r>
        <w:rPr>
          <w:rFonts w:ascii="Calibri" w:hAnsi="Calibri"/>
          <w:b/>
          <w:i w:val="0"/>
          <w:color w:val="141B2E"/>
          <w:sz w:val="21"/>
        </w:rPr>
        <w:t>Еталонний корпус синтетичний плюс слабкі мітки.</w:t>
      </w:r>
      <w:r>
        <w:rPr>
          <w:rFonts w:ascii="Calibri" w:hAnsi="Calibri"/>
          <w:i w:val="0"/>
          <w:color w:val="141B2E"/>
          <w:sz w:val="21"/>
        </w:rPr>
        <w:t xml:space="preserve"> Детермінований симулятор постачає класи фроду, що не мають публічних міток, доповнені слабкими публічними метаданими. Майже ідеальні оцінки підтверджують конвеєр і розділення міток — не реальну точність.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02A54"/>
          <w:sz w:val="21"/>
        </w:rPr>
        <w:t xml:space="preserve">2.  </w:t>
      </w:r>
      <w:r>
        <w:rPr>
          <w:rFonts w:ascii="Calibri" w:hAnsi="Calibri"/>
          <w:b/>
          <w:i w:val="0"/>
          <w:color w:val="141B2E"/>
          <w:sz w:val="21"/>
        </w:rPr>
        <w:t>Реальну точність треба заслужити на власних мітках.</w:t>
      </w:r>
      <w:r>
        <w:rPr>
          <w:rFonts w:ascii="Calibri" w:hAnsi="Calibri"/>
          <w:i w:val="0"/>
          <w:color w:val="141B2E"/>
          <w:sz w:val="21"/>
        </w:rPr>
        <w:t xml:space="preserve"> Справжні промислові твердження потребують підтверджених чарджбеків, рішень MMP щодо фроду й вердиктів аналітиків, із валідацією вперед у часі та на небачених паблішерах, лімітами фінансової вартості хибних спрацювань і задокументованим переглядом обробки даних.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02A54"/>
          <w:sz w:val="21"/>
        </w:rPr>
        <w:t xml:space="preserve">3.  </w:t>
      </w:r>
      <w:r>
        <w:rPr>
          <w:rFonts w:ascii="Calibri" w:hAnsi="Calibri"/>
          <w:b/>
          <w:i w:val="0"/>
          <w:color w:val="141B2E"/>
          <w:sz w:val="21"/>
        </w:rPr>
        <w:t>Лише рекомендації, і ніколи не звинувачення.</w:t>
      </w:r>
      <w:r>
        <w:rPr>
          <w:rFonts w:ascii="Calibri" w:hAnsi="Calibri"/>
          <w:i w:val="0"/>
          <w:color w:val="141B2E"/>
          <w:sz w:val="21"/>
        </w:rPr>
        <w:t xml:space="preserve"> Модель видає докази невалідного трафіку й кандидатні дії; вона ніколи не блокує, не утримує гроші й не стверджує, що названа особа скоїла фрод. </w:t>
      </w:r>
      <w:r>
        <w:rPr>
          <w:rFonts w:ascii="Consolas" w:hAnsi="Consolas"/>
          <w:color w:val="102A54"/>
          <w:sz w:val="20"/>
        </w:rPr>
        <w:t>AUTOMATED_ACTION_READY</w:t>
      </w:r>
      <w:r>
        <w:rPr>
          <w:rFonts w:ascii="Calibri" w:hAnsi="Calibri"/>
          <w:i w:val="0"/>
          <w:color w:val="141B2E"/>
          <w:sz w:val="21"/>
        </w:rPr>
        <w:t xml:space="preserve"> лишається хибним, доки немає валідації, юр. перегляду й апеляції/відкату.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Чому ми починаємо із застереження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Продукт проти фроду, що розмиває межу між доказами конвеєра й польовою точністю, не можна довірити поряд із рішенням про виплату. Чесність — частина продукту: кожна рекомендація несе свої докази, а кожне твердження звіту несе свій обсяг.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11  </w:t>
      </w:r>
      <w:r>
        <w:rPr>
          <w:rFonts w:ascii="Calibri" w:hAnsi="Calibri"/>
          <w:b/>
          <w:color w:val="102A54"/>
          <w:sz w:val="34"/>
        </w:rPr>
        <w:t>Загальний вердикт і готовність</w:t>
      </w:r>
    </w:p>
    <w:p>
      <w:pPr>
        <w:spacing w:after="120"/>
      </w:pPr>
      <w:r>
        <w:rPr>
          <w:rFonts w:ascii="Calibri" w:hAnsi="Calibri"/>
          <w:b/>
          <w:i w:val="0"/>
          <w:color w:val="141B2E"/>
          <w:sz w:val="21"/>
        </w:rPr>
        <w:t>Ad-Fraud Guardian проходить кожен тест на кожному рівні на еталонному корпусі, а нещодавнє оновлення підняло macro-F1 з 0.66 до 0.97.</w:t>
      </w:r>
      <w:r>
        <w:rPr>
          <w:rFonts w:ascii="Calibri" w:hAnsi="Calibri"/>
          <w:i w:val="0"/>
          <w:color w:val="141B2E"/>
          <w:sz w:val="21"/>
        </w:rPr>
        <w:t xml:space="preserve"> Десять міток розділяються з чесними, добре каліброваними ймовірностями; процес без витоку й відтворюваний; готова мережа завантажується, а набір Java зелений; стеля безпеки (рекомендації, без звинувачення) збережена впродовж усього.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Готовність: </w:t>
      </w:r>
      <w:r>
        <w:rPr>
          <w:rFonts w:ascii="Calibri" w:hAnsi="Calibri"/>
          <w:b/>
          <w:i w:val="0"/>
          <w:color w:val="141B2E"/>
          <w:sz w:val="21"/>
        </w:rPr>
        <w:t>ENGINEERING_READY, SHADOW_READY, ADVISORY_READY = true; AUTOMATED_ACTION_READY = false.</w:t>
      </w:r>
      <w:r>
        <w:rPr>
          <w:rFonts w:ascii="Calibri" w:hAnsi="Calibri"/>
          <w:i w:val="0"/>
          <w:color w:val="141B2E"/>
          <w:sz w:val="21"/>
        </w:rPr>
        <w:t xml:space="preserve"> Система готова до наступного етапу — офлайн-відтворення й тіньова валідація на реальному власному трафіку, єдиного, що може перетворити ці сильні докази конвеєра на твердження про польову точність.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12  </w:t>
      </w:r>
      <w:r>
        <w:rPr>
          <w:rFonts w:ascii="Calibri" w:hAnsi="Calibri"/>
          <w:b/>
          <w:color w:val="102A54"/>
          <w:sz w:val="34"/>
        </w:rPr>
        <w:t>Словник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316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Термін</w:t>
            </w:r>
          </w:p>
        </w:tc>
        <w:tc>
          <w:tcPr>
            <w:tcW w:type="dxa" w:w="662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Значення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Багатоміткова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Кілька незалежних міток фроду можуть бути істинними для однієї події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Точність / повнота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Частка правильних позначок / частка зловлених справжніх випадків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Macro-F1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Якість виявлення, усереднена порівну по десяти мітках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AUC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Наскільки добре бал ранжує фрод над не-фродом, незалежно від порога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Калібрування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Чи означає оцінка впевненості те, що каже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Platt-масштабування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Стандартний спосіб перетворити сирі бали на чесні ймовірності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Витік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Коли майже-дублікати просочуються між train/test і завищують оцінки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Ворожий холдаут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Види атак, що лишаються повністю небаченими до оцінки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Рекомендаційно / тінь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Система радить; сама ніколи не блокує й не утримує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Jneopallium Ad-Fraud Guardian · Повний звіт про тестування. Результати — це докази конвеєра на детермінованому еталонному корпусі плюс слабких мітках, а не твердження про реальну точність. Режим безпеки: ADVISORY / SHADOW. Ліцензія: BSD 3-Clause.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Ad-Fraud Guardian · Багатоміткова рекомендація щодо невалідного трафіку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