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102A54"/>
            <w:tcMar>
              <w:top w:w="260" w:type="dxa"/>
              <w:bottom w:w="260" w:type="dxa"/>
              <w:start w:w="240" w:type="dxa"/>
              <w:end w:w="240" w:type="dxa"/>
            </w:tcMar>
          </w:tcPr>
          <w:p>
            <w:pPr>
              <w:spacing w:after="40"/>
            </w:pPr>
            <w:r>
              <w:rPr>
                <w:rFonts w:ascii="Calibri" w:hAnsi="Calibri"/>
                <w:b/>
                <w:color w:val="8FC2F0"/>
                <w:sz w:val="22"/>
              </w:rPr>
              <w:t>JNEOPALLIUM · AD-FRAUD GUARDIAN</w:t>
            </w:r>
          </w:p>
          <w:p>
            <w:pPr>
              <w:spacing w:after="40"/>
            </w:pPr>
            <w:r>
              <w:rPr>
                <w:rFonts w:ascii="Calibri" w:hAnsi="Calibri"/>
                <w:color w:val="B9C6DA"/>
                <w:sz w:val="18"/>
              </w:rPr>
              <w:t>TRAINING GUIDE</w:t>
            </w:r>
          </w:p>
        </w:tc>
      </w:tr>
    </w:tbl>
    <w:p>
      <w:pPr>
        <w:spacing w:after="0" w:before="0"/>
      </w:pPr>
      <w:r>
        <w:rPr>
          <w:sz w:val="40"/>
        </w:rPr>
      </w:r>
    </w:p>
    <w:p>
      <w:pPr>
        <w:spacing w:after="80"/>
      </w:pPr>
      <w:r>
        <w:rPr>
          <w:rFonts w:ascii="Calibri" w:hAnsi="Calibri"/>
          <w:b/>
          <w:color w:val="102A54"/>
          <w:sz w:val="60"/>
        </w:rPr>
        <w:t>Training Guide</w:t>
      </w:r>
    </w:p>
    <w:p>
      <w:pPr>
        <w:spacing w:after="200"/>
      </w:pPr>
      <w:r>
        <w:rPr>
          <w:rFonts w:ascii="Calibri" w:hAnsi="Calibri"/>
          <w:color w:val="1C5D99"/>
          <w:sz w:val="28"/>
        </w:rPr>
        <w:t>Build, run the deterministic workflow, train, and produce a deployable invalid-traffic network</w:t>
      </w:r>
    </w:p>
    <w:p>
      <w:pPr>
        <w:pBdr>
          <w:bottom w:val="single" w:sz="10" w:space="4" w:color="0E7C86"/>
        </w:pBdr>
      </w:pPr>
    </w:p>
    <w:p>
      <w:pPr>
        <w:spacing w:after="0" w:before="0"/>
      </w:pPr>
      <w:r>
        <w:rPr>
          <w:sz w:val="16"/>
        </w:rPr>
      </w:r>
    </w:p>
    <w:p>
      <w:pPr>
        <w:spacing w:after="120"/>
      </w:pPr>
      <w:r>
        <w:rPr>
          <w:rFonts w:ascii="Calibri" w:hAnsi="Calibri"/>
          <w:i/>
          <w:color w:val="555F70"/>
          <w:sz w:val="23"/>
        </w:rPr>
        <w:t>A complete, copy-paste walkthrough of the training half of the pipeline: install the toolchain, build the platform, run the deterministic ad-fraud workflow, bring your own data, and produce the ready-to-deploy multi-label network the Deployment Guide consumes.</w:t>
      </w:r>
    </w:p>
    <w:p>
      <w:pPr>
        <w:spacing w:after="0" w:before="0"/>
      </w:pPr>
      <w:r>
        <w:rPr>
          <w:sz w:val="20"/>
        </w:rPr>
      </w:r>
    </w:p>
    <w:tbl>
      <w:tblPr>
        <w:tblW w:type="auto" w:w="0"/>
        <w:tblLook w:firstColumn="1" w:firstRow="1" w:lastColumn="0" w:lastRow="0" w:noHBand="0" w:noVBand="1" w:val="04A0"/>
        <w:tblBorders>
          <w:top w:val="none"/>
          <w:left w:val="none"/>
          <w:bottom w:val="none"/>
          <w:right w:val="none"/>
          <w:insideH w:val="none"/>
          <w:insideV w:val="none"/>
        </w:tblBorders>
      </w:tblPr>
      <w:tblGrid>
        <w:gridCol w:w="4586"/>
        <w:gridCol w:w="4586"/>
      </w:tblGrid>
      <w:tr>
        <w:tc>
          <w:tcPr>
            <w:tcW w:type="dxa" w:w="4586"/>
            <w:tcMar>
              <w:top w:w="40" w:type="dxa"/>
              <w:bottom w:w="40" w:type="dxa"/>
              <w:start w:w="0" w:type="dxa"/>
              <w:end w:w="120" w:type="dxa"/>
            </w:tcMar>
          </w:tcPr>
          <w:p>
            <w:pPr>
              <w:spacing w:after="0"/>
            </w:pPr>
            <w:r>
              <w:rPr>
                <w:rFonts w:ascii="Calibri" w:hAnsi="Calibri"/>
                <w:b/>
                <w:color w:val="555F70"/>
                <w:sz w:val="19"/>
              </w:rPr>
              <w:t>Document</w:t>
            </w:r>
          </w:p>
        </w:tc>
        <w:tc>
          <w:tcPr>
            <w:tcW w:type="dxa" w:w="4586"/>
            <w:tcMar>
              <w:top w:w="40" w:type="dxa"/>
              <w:bottom w:w="40" w:type="dxa"/>
              <w:start w:w="0" w:type="dxa"/>
              <w:end w:w="0" w:type="dxa"/>
            </w:tcMar>
          </w:tcPr>
          <w:p>
            <w:pPr>
              <w:spacing w:after="0"/>
            </w:pPr>
            <w:r>
              <w:rPr>
                <w:rFonts w:ascii="Calibri" w:hAnsi="Calibri"/>
                <w:color w:val="141B2E"/>
                <w:sz w:val="19"/>
              </w:rPr>
              <w:t>Model Training Guide</w:t>
            </w:r>
          </w:p>
        </w:tc>
      </w:tr>
      <w:tr>
        <w:tc>
          <w:tcPr>
            <w:tcW w:type="dxa" w:w="4586"/>
            <w:tcMar>
              <w:top w:w="40" w:type="dxa"/>
              <w:bottom w:w="40" w:type="dxa"/>
              <w:start w:w="0" w:type="dxa"/>
              <w:end w:w="120" w:type="dxa"/>
            </w:tcMar>
          </w:tcPr>
          <w:p>
            <w:pPr>
              <w:spacing w:after="0"/>
            </w:pPr>
            <w:r>
              <w:rPr>
                <w:rFonts w:ascii="Calibri" w:hAnsi="Calibri"/>
                <w:b/>
                <w:color w:val="555F70"/>
                <w:sz w:val="19"/>
              </w:rPr>
              <w:t>Product</w:t>
            </w:r>
          </w:p>
        </w:tc>
        <w:tc>
          <w:tcPr>
            <w:tcW w:type="dxa" w:w="4586"/>
            <w:tcMar>
              <w:top w:w="40" w:type="dxa"/>
              <w:bottom w:w="40" w:type="dxa"/>
              <w:start w:w="0" w:type="dxa"/>
              <w:end w:w="0" w:type="dxa"/>
            </w:tcMar>
          </w:tcPr>
          <w:p>
            <w:pPr>
              <w:spacing w:after="0"/>
            </w:pPr>
            <w:r>
              <w:rPr>
                <w:rFonts w:ascii="Calibri" w:hAnsi="Calibri"/>
                <w:color w:val="141B2E"/>
                <w:sz w:val="19"/>
              </w:rPr>
              <w:t>Jneopallium Ad-Fraud Guardian (advertising-fraud module)</w:t>
            </w:r>
          </w:p>
        </w:tc>
      </w:tr>
      <w:tr>
        <w:tc>
          <w:tcPr>
            <w:tcW w:type="dxa" w:w="4586"/>
            <w:tcMar>
              <w:top w:w="40" w:type="dxa"/>
              <w:bottom w:w="40" w:type="dxa"/>
              <w:start w:w="0" w:type="dxa"/>
              <w:end w:w="120" w:type="dxa"/>
            </w:tcMar>
          </w:tcPr>
          <w:p>
            <w:pPr>
              <w:spacing w:after="0"/>
            </w:pPr>
            <w:r>
              <w:rPr>
                <w:rFonts w:ascii="Calibri" w:hAnsi="Calibri"/>
                <w:b/>
                <w:color w:val="555F70"/>
                <w:sz w:val="19"/>
              </w:rPr>
              <w:t>Model</w:t>
            </w:r>
          </w:p>
        </w:tc>
        <w:tc>
          <w:tcPr>
            <w:tcW w:type="dxa" w:w="4586"/>
            <w:tcMar>
              <w:top w:w="40" w:type="dxa"/>
              <w:bottom w:w="40" w:type="dxa"/>
              <w:start w:w="0" w:type="dxa"/>
              <w:end w:w="0" w:type="dxa"/>
            </w:tcMar>
          </w:tcPr>
          <w:p>
            <w:pPr>
              <w:spacing w:after="0"/>
            </w:pPr>
            <w:r>
              <w:rPr>
                <w:rFonts w:ascii="Calibri" w:hAnsi="Calibri"/>
                <w:color w:val="141B2E"/>
                <w:sz w:val="19"/>
              </w:rPr>
              <w:t>advertising-fraud 1.0.0 · macro-F1 ≈ 0.97</w:t>
            </w:r>
          </w:p>
        </w:tc>
      </w:tr>
      <w:tr>
        <w:tc>
          <w:tcPr>
            <w:tcW w:type="dxa" w:w="4586"/>
            <w:tcMar>
              <w:top w:w="40" w:type="dxa"/>
              <w:bottom w:w="40" w:type="dxa"/>
              <w:start w:w="0" w:type="dxa"/>
              <w:end w:w="120" w:type="dxa"/>
            </w:tcMar>
          </w:tcPr>
          <w:p>
            <w:pPr>
              <w:spacing w:after="0"/>
            </w:pPr>
            <w:r>
              <w:rPr>
                <w:rFonts w:ascii="Calibri" w:hAnsi="Calibri"/>
                <w:b/>
                <w:color w:val="555F70"/>
                <w:sz w:val="19"/>
              </w:rPr>
              <w:t>Trainer</w:t>
            </w:r>
          </w:p>
        </w:tc>
        <w:tc>
          <w:tcPr>
            <w:tcW w:type="dxa" w:w="4586"/>
            <w:tcMar>
              <w:top w:w="40" w:type="dxa"/>
              <w:bottom w:w="40" w:type="dxa"/>
              <w:start w:w="0" w:type="dxa"/>
              <w:end w:w="0" w:type="dxa"/>
            </w:tcMar>
          </w:tcPr>
          <w:p>
            <w:pPr>
              <w:spacing w:after="0"/>
            </w:pPr>
            <w:r>
              <w:rPr>
                <w:rFonts w:ascii="Calibri" w:hAnsi="Calibri"/>
                <w:color w:val="141B2E"/>
                <w:sz w:val="19"/>
              </w:rPr>
              <w:t>scripts/demo-ad-fraud/run_all.py</w:t>
            </w:r>
          </w:p>
        </w:tc>
      </w:tr>
      <w:tr>
        <w:tc>
          <w:tcPr>
            <w:tcW w:type="dxa" w:w="4586"/>
            <w:tcMar>
              <w:top w:w="40" w:type="dxa"/>
              <w:bottom w:w="40" w:type="dxa"/>
              <w:start w:w="0" w:type="dxa"/>
              <w:end w:w="120" w:type="dxa"/>
            </w:tcMar>
          </w:tcPr>
          <w:p>
            <w:pPr>
              <w:spacing w:after="0"/>
            </w:pPr>
            <w:r>
              <w:rPr>
                <w:rFonts w:ascii="Calibri" w:hAnsi="Calibri"/>
                <w:b/>
                <w:color w:val="555F70"/>
                <w:sz w:val="19"/>
              </w:rPr>
              <w:t>Output</w:t>
            </w:r>
          </w:p>
        </w:tc>
        <w:tc>
          <w:tcPr>
            <w:tcW w:type="dxa" w:w="4586"/>
            <w:tcMar>
              <w:top w:w="40" w:type="dxa"/>
              <w:bottom w:w="40" w:type="dxa"/>
              <w:start w:w="0" w:type="dxa"/>
              <w:end w:w="0" w:type="dxa"/>
            </w:tcMar>
          </w:tcPr>
          <w:p>
            <w:pPr>
              <w:spacing w:after="0"/>
            </w:pPr>
            <w:r>
              <w:rPr>
                <w:rFonts w:ascii="Calibri" w:hAnsi="Calibri"/>
                <w:color w:val="141B2E"/>
                <w:sz w:val="19"/>
              </w:rPr>
              <w:t>Deployable JNeopallium layer/neuron config</w:t>
            </w:r>
          </w:p>
        </w:tc>
      </w:tr>
      <w:tr>
        <w:tc>
          <w:tcPr>
            <w:tcW w:type="dxa" w:w="4586"/>
            <w:tcMar>
              <w:top w:w="40" w:type="dxa"/>
              <w:bottom w:w="40" w:type="dxa"/>
              <w:start w:w="0" w:type="dxa"/>
              <w:end w:w="120" w:type="dxa"/>
            </w:tcMar>
          </w:tcPr>
          <w:p>
            <w:pPr>
              <w:spacing w:after="0"/>
            </w:pPr>
            <w:r>
              <w:rPr>
                <w:rFonts w:ascii="Calibri" w:hAnsi="Calibri"/>
                <w:b/>
                <w:color w:val="555F70"/>
                <w:sz w:val="19"/>
              </w:rPr>
              <w:t>Author</w:t>
            </w:r>
          </w:p>
        </w:tc>
        <w:tc>
          <w:tcPr>
            <w:tcW w:type="dxa" w:w="4586"/>
            <w:tcMar>
              <w:top w:w="40" w:type="dxa"/>
              <w:bottom w:w="40" w:type="dxa"/>
              <w:start w:w="0" w:type="dxa"/>
              <w:end w:w="0" w:type="dxa"/>
            </w:tcMar>
          </w:tcPr>
          <w:p>
            <w:pPr>
              <w:spacing w:after="0"/>
            </w:pPr>
            <w:r>
              <w:rPr>
                <w:rFonts w:ascii="Calibri" w:hAnsi="Calibri"/>
                <w:color w:val="141B2E"/>
                <w:sz w:val="19"/>
              </w:rPr>
              <w:t>Dmytro Rakovskyi — Kharkiv, Ukraine</w:t>
            </w:r>
          </w:p>
        </w:tc>
      </w:tr>
      <w:tr>
        <w:tc>
          <w:tcPr>
            <w:tcW w:type="dxa" w:w="4586"/>
            <w:tcMar>
              <w:top w:w="40" w:type="dxa"/>
              <w:bottom w:w="40" w:type="dxa"/>
              <w:start w:w="0" w:type="dxa"/>
              <w:end w:w="120" w:type="dxa"/>
            </w:tcMar>
          </w:tcPr>
          <w:p>
            <w:pPr>
              <w:spacing w:after="0"/>
            </w:pPr>
            <w:r>
              <w:rPr>
                <w:rFonts w:ascii="Calibri" w:hAnsi="Calibri"/>
                <w:b/>
                <w:color w:val="555F70"/>
                <w:sz w:val="19"/>
              </w:rPr>
              <w:t>Date</w:t>
            </w:r>
          </w:p>
        </w:tc>
        <w:tc>
          <w:tcPr>
            <w:tcW w:type="dxa" w:w="4586"/>
            <w:tcMar>
              <w:top w:w="40" w:type="dxa"/>
              <w:bottom w:w="40" w:type="dxa"/>
              <w:start w:w="0" w:type="dxa"/>
              <w:end w:w="0" w:type="dxa"/>
            </w:tcMar>
          </w:tcPr>
          <w:p>
            <w:pPr>
              <w:spacing w:after="0"/>
            </w:pPr>
            <w:r>
              <w:rPr>
                <w:rFonts w:ascii="Calibri" w:hAnsi="Calibri"/>
                <w:color w:val="141B2E"/>
                <w:sz w:val="19"/>
              </w:rPr>
              <w:t>23 June 2026</w:t>
            </w:r>
          </w:p>
        </w:tc>
      </w:tr>
      <w:tr>
        <w:tc>
          <w:tcPr>
            <w:tcW w:type="dxa" w:w="2448"/>
            <w:tcMar>
              <w:top w:w="40" w:type="dxa"/>
              <w:bottom w:w="40" w:type="dxa"/>
              <w:start w:w="0" w:type="dxa"/>
              <w:end w:w="120" w:type="dxa"/>
            </w:tcMar>
          </w:tcPr>
          <w:p>
            <w:pPr>
              <w:spacing w:after="0"/>
            </w:pPr>
            <w:r>
              <w:rPr>
                <w:rFonts w:ascii="Calibri" w:hAnsi="Calibri"/>
                <w:b/>
                <w:color w:val="555F70"/>
                <w:sz w:val="19"/>
              </w:rPr>
              <w:t>License</w:t>
            </w:r>
          </w:p>
        </w:tc>
        <w:tc>
          <w:tcPr>
            <w:tcW w:type="dxa" w:w="6624"/>
            <w:tcMar>
              <w:top w:w="40" w:type="dxa"/>
              <w:bottom w:w="40" w:type="dxa"/>
              <w:start w:w="0" w:type="dxa"/>
              <w:end w:w="0" w:type="dxa"/>
            </w:tcMar>
          </w:tcPr>
          <w:p>
            <w:pPr>
              <w:spacing w:after="0"/>
            </w:pPr>
            <w:r>
              <w:rPr>
                <w:rFonts w:ascii="Calibri" w:hAnsi="Calibri"/>
                <w:color w:val="141B2E"/>
                <w:sz w:val="19"/>
              </w:rPr>
              <w:t>BSD 3-Clause</w:t>
            </w:r>
          </w:p>
        </w:tc>
      </w:tr>
    </w:tbl>
    <w:p>
      <w:r>
        <w:br w:type="page"/>
      </w:r>
    </w:p>
    <w:p>
      <w:pPr>
        <w:keepNext/>
        <w:spacing w:before="320" w:after="40"/>
        <w:pBdr>
          <w:bottom w:val="single" w:sz="10" w:space="4" w:color="0E7C86"/>
        </w:pBdr>
      </w:pPr>
      <w:r>
        <w:rPr>
          <w:rFonts w:ascii="Calibri" w:hAnsi="Calibri"/>
          <w:b/>
          <w:color w:val="102A54"/>
          <w:sz w:val="34"/>
        </w:rPr>
        <w:t>Contents</w:t>
      </w:r>
    </w:p>
    <w:p>
      <w:pPr>
        <w:spacing w:after="80"/>
        <w:ind w:left="144"/>
      </w:pPr>
      <w:r>
        <w:rPr>
          <w:rFonts w:ascii="Calibri" w:hAnsi="Calibri"/>
          <w:b/>
          <w:color w:val="0E7C86"/>
          <w:sz w:val="21"/>
        </w:rPr>
        <w:t xml:space="preserve"> 1.  </w:t>
      </w:r>
      <w:r>
        <w:rPr>
          <w:rFonts w:ascii="Calibri" w:hAnsi="Calibri"/>
          <w:color w:val="141B2E"/>
          <w:sz w:val="21"/>
        </w:rPr>
        <w:t>What you will achieve</w:t>
      </w:r>
    </w:p>
    <w:p>
      <w:pPr>
        <w:spacing w:after="80"/>
        <w:ind w:left="144"/>
      </w:pPr>
      <w:r>
        <w:rPr>
          <w:rFonts w:ascii="Calibri" w:hAnsi="Calibri"/>
          <w:b/>
          <w:color w:val="0E7C86"/>
          <w:sz w:val="21"/>
        </w:rPr>
        <w:t xml:space="preserve"> 2.  </w:t>
      </w:r>
      <w:r>
        <w:rPr>
          <w:rFonts w:ascii="Calibri" w:hAnsi="Calibri"/>
          <w:color w:val="141B2E"/>
          <w:sz w:val="21"/>
        </w:rPr>
        <w:t>Where training ends and deployment begins</w:t>
      </w:r>
    </w:p>
    <w:p>
      <w:pPr>
        <w:spacing w:after="80"/>
        <w:ind w:left="144"/>
      </w:pPr>
      <w:r>
        <w:rPr>
          <w:rFonts w:ascii="Calibri" w:hAnsi="Calibri"/>
          <w:b/>
          <w:color w:val="0E7C86"/>
          <w:sz w:val="21"/>
        </w:rPr>
        <w:t xml:space="preserve"> 3.  </w:t>
      </w:r>
      <w:r>
        <w:rPr>
          <w:rFonts w:ascii="Calibri" w:hAnsi="Calibri"/>
          <w:color w:val="141B2E"/>
          <w:sz w:val="21"/>
        </w:rPr>
        <w:t>Prerequisites and system requirements</w:t>
      </w:r>
    </w:p>
    <w:p>
      <w:pPr>
        <w:spacing w:after="80"/>
        <w:ind w:left="144"/>
      </w:pPr>
      <w:r>
        <w:rPr>
          <w:rFonts w:ascii="Calibri" w:hAnsi="Calibri"/>
          <w:b/>
          <w:color w:val="0E7C86"/>
          <w:sz w:val="21"/>
        </w:rPr>
        <w:t xml:space="preserve"> 4.  </w:t>
      </w:r>
      <w:r>
        <w:rPr>
          <w:rFonts w:ascii="Calibri" w:hAnsi="Calibri"/>
          <w:color w:val="141B2E"/>
          <w:sz w:val="21"/>
        </w:rPr>
        <w:t>Step 1 — Get the source and build</w:t>
      </w:r>
    </w:p>
    <w:p>
      <w:pPr>
        <w:spacing w:after="80"/>
        <w:ind w:left="144"/>
      </w:pPr>
      <w:r>
        <w:rPr>
          <w:rFonts w:ascii="Calibri" w:hAnsi="Calibri"/>
          <w:b/>
          <w:color w:val="0E7C86"/>
          <w:sz w:val="21"/>
        </w:rPr>
        <w:t xml:space="preserve"> 5.  </w:t>
      </w:r>
      <w:r>
        <w:rPr>
          <w:rFonts w:ascii="Calibri" w:hAnsi="Calibri"/>
          <w:color w:val="141B2E"/>
          <w:sz w:val="21"/>
        </w:rPr>
        <w:t>Step 2 — Run the deterministic workflow</w:t>
      </w:r>
    </w:p>
    <w:p>
      <w:pPr>
        <w:spacing w:after="80"/>
        <w:ind w:left="144"/>
      </w:pPr>
      <w:r>
        <w:rPr>
          <w:rFonts w:ascii="Calibri" w:hAnsi="Calibri"/>
          <w:b/>
          <w:color w:val="0E7C86"/>
          <w:sz w:val="21"/>
        </w:rPr>
        <w:t xml:space="preserve"> 6.  </w:t>
      </w:r>
      <w:r>
        <w:rPr>
          <w:rFonts w:ascii="Calibri" w:hAnsi="Calibri"/>
          <w:color w:val="141B2E"/>
          <w:sz w:val="21"/>
        </w:rPr>
        <w:t>Step 3 — Understand the generated outputs</w:t>
      </w:r>
    </w:p>
    <w:p>
      <w:pPr>
        <w:spacing w:after="80"/>
        <w:ind w:left="144"/>
      </w:pPr>
      <w:r>
        <w:rPr>
          <w:rFonts w:ascii="Calibri" w:hAnsi="Calibri"/>
          <w:b/>
          <w:color w:val="0E7C86"/>
          <w:sz w:val="21"/>
        </w:rPr>
        <w:t xml:space="preserve"> 7.  </w:t>
      </w:r>
      <w:r>
        <w:rPr>
          <w:rFonts w:ascii="Calibri" w:hAnsi="Calibri"/>
          <w:color w:val="141B2E"/>
          <w:sz w:val="21"/>
        </w:rPr>
        <w:t>Step 4 — The workflow stages, explained</w:t>
      </w:r>
    </w:p>
    <w:p>
      <w:pPr>
        <w:spacing w:after="80"/>
        <w:ind w:left="144"/>
      </w:pPr>
      <w:r>
        <w:rPr>
          <w:rFonts w:ascii="Calibri" w:hAnsi="Calibri"/>
          <w:b/>
          <w:color w:val="0E7C86"/>
          <w:sz w:val="21"/>
        </w:rPr>
        <w:t xml:space="preserve"> 8.  </w:t>
      </w:r>
      <w:r>
        <w:rPr>
          <w:rFonts w:ascii="Calibri" w:hAnsi="Calibri"/>
          <w:color w:val="141B2E"/>
          <w:sz w:val="21"/>
        </w:rPr>
        <w:t>Step 5 — Bring your own data (the canonical event)</w:t>
      </w:r>
    </w:p>
    <w:p>
      <w:pPr>
        <w:spacing w:after="80"/>
        <w:ind w:left="144"/>
      </w:pPr>
      <w:r>
        <w:rPr>
          <w:rFonts w:ascii="Calibri" w:hAnsi="Calibri"/>
          <w:b/>
          <w:color w:val="0E7C86"/>
          <w:sz w:val="21"/>
        </w:rPr>
        <w:t xml:space="preserve"> 9.  </w:t>
      </w:r>
      <w:r>
        <w:rPr>
          <w:rFonts w:ascii="Calibri" w:hAnsi="Calibri"/>
          <w:color w:val="141B2E"/>
          <w:sz w:val="21"/>
        </w:rPr>
        <w:t>Step 6 — The generated artifacts: a deployable network</w:t>
      </w:r>
    </w:p>
    <w:p>
      <w:pPr>
        <w:spacing w:after="80"/>
        <w:ind w:left="144"/>
      </w:pPr>
      <w:r>
        <w:rPr>
          <w:rFonts w:ascii="Calibri" w:hAnsi="Calibri"/>
          <w:b/>
          <w:color w:val="0E7C86"/>
          <w:sz w:val="21"/>
        </w:rPr>
        <w:t xml:space="preserve">10.  </w:t>
      </w:r>
      <w:r>
        <w:rPr>
          <w:rFonts w:ascii="Calibri" w:hAnsi="Calibri"/>
          <w:color w:val="141B2E"/>
          <w:sz w:val="21"/>
        </w:rPr>
        <w:t>Step 7 — Verify the run against the gates</w:t>
      </w:r>
    </w:p>
    <w:p>
      <w:pPr>
        <w:spacing w:after="80"/>
        <w:ind w:left="144"/>
      </w:pPr>
      <w:r>
        <w:rPr>
          <w:rFonts w:ascii="Calibri" w:hAnsi="Calibri"/>
          <w:b/>
          <w:color w:val="0E7C86"/>
          <w:sz w:val="21"/>
        </w:rPr>
        <w:t xml:space="preserve">11.  </w:t>
      </w:r>
      <w:r>
        <w:rPr>
          <w:rFonts w:ascii="Calibri" w:hAnsi="Calibri"/>
          <w:color w:val="141B2E"/>
          <w:sz w:val="21"/>
        </w:rPr>
        <w:t>Troubleshooting</w:t>
      </w:r>
    </w:p>
    <w:p>
      <w:pPr>
        <w:spacing w:after="80"/>
        <w:ind w:left="144"/>
      </w:pPr>
      <w:r>
        <w:rPr>
          <w:rFonts w:ascii="Calibri" w:hAnsi="Calibri"/>
          <w:b/>
          <w:color w:val="0E7C86"/>
          <w:sz w:val="21"/>
        </w:rPr>
        <w:t xml:space="preserve">12.  </w:t>
      </w:r>
      <w:r>
        <w:rPr>
          <w:rFonts w:ascii="Calibri" w:hAnsi="Calibri"/>
          <w:color w:val="141B2E"/>
          <w:sz w:val="21"/>
        </w:rPr>
        <w:t>Appendix — training cheat-sheet</w:t>
      </w:r>
    </w:p>
    <w:p>
      <w:r>
        <w:br w:type="page"/>
      </w:r>
    </w:p>
    <w:p>
      <w:pPr>
        <w:keepNext/>
        <w:spacing w:before="320" w:after="40"/>
        <w:pBdr>
          <w:bottom w:val="single" w:sz="10" w:space="4" w:color="0E7C86"/>
        </w:pBdr>
      </w:pPr>
      <w:r>
        <w:rPr>
          <w:rFonts w:ascii="Calibri" w:hAnsi="Calibri"/>
          <w:b/>
          <w:color w:val="0E7C86"/>
          <w:sz w:val="34"/>
        </w:rPr>
        <w:t xml:space="preserve">1  </w:t>
      </w:r>
      <w:r>
        <w:rPr>
          <w:rFonts w:ascii="Calibri" w:hAnsi="Calibri"/>
          <w:b/>
          <w:color w:val="102A54"/>
          <w:sz w:val="34"/>
        </w:rPr>
        <w:t>What you will achieve</w:t>
      </w:r>
    </w:p>
    <w:p>
      <w:pPr>
        <w:spacing w:after="120"/>
      </w:pPr>
      <w:r>
        <w:rPr>
          <w:rFonts w:ascii="Calibri" w:hAnsi="Calibri"/>
          <w:i w:val="0"/>
          <w:color w:val="141B2E"/>
          <w:sz w:val="21"/>
        </w:rPr>
        <w:t xml:space="preserve">By the end of this guide you will have: a built Jneopallium platform; a fully reproducible ad-fraud workflow run; a freshly trained, calibrated </w:t>
      </w:r>
      <w:r>
        <w:rPr>
          <w:rFonts w:ascii="Calibri" w:hAnsi="Calibri"/>
          <w:b/>
          <w:i w:val="0"/>
          <w:color w:val="141B2E"/>
          <w:sz w:val="21"/>
        </w:rPr>
        <w:t>multi-label invalid-traffic model</w:t>
      </w:r>
      <w:r>
        <w:rPr>
          <w:rFonts w:ascii="Calibri" w:hAnsi="Calibri"/>
          <w:i w:val="0"/>
          <w:color w:val="141B2E"/>
          <w:sz w:val="21"/>
        </w:rPr>
        <w:t xml:space="preserve">; and — the key output — a </w:t>
      </w:r>
      <w:r>
        <w:rPr>
          <w:rFonts w:ascii="Calibri" w:hAnsi="Calibri"/>
          <w:b/>
          <w:i w:val="0"/>
          <w:color w:val="141B2E"/>
          <w:sz w:val="21"/>
        </w:rPr>
        <w:t>complete, deployable JNeopallium network</w:t>
      </w:r>
      <w:r>
        <w:rPr>
          <w:rFonts w:ascii="Calibri" w:hAnsi="Calibri"/>
          <w:i w:val="0"/>
          <w:color w:val="141B2E"/>
          <w:sz w:val="21"/>
        </w:rPr>
        <w:t xml:space="preserve"> (eight layer files, real runtime classes, embedded calibrated heads, and an advisory response gate) that the companion </w:t>
      </w:r>
      <w:r>
        <w:rPr>
          <w:rFonts w:ascii="Calibri" w:hAnsi="Calibri"/>
          <w:b/>
          <w:i w:val="0"/>
          <w:color w:val="141B2E"/>
          <w:sz w:val="21"/>
        </w:rPr>
        <w:t>Deployment Guide</w:t>
      </w:r>
      <w:r>
        <w:rPr>
          <w:rFonts w:ascii="Calibri" w:hAnsi="Calibri"/>
          <w:i w:val="0"/>
          <w:color w:val="141B2E"/>
          <w:sz w:val="21"/>
        </w:rPr>
        <w:t xml:space="preserve"> loads directly.</w:t>
      </w:r>
    </w:p>
    <w:tbl>
      <w:tblPr>
        <w:tblW w:type="auto" w:w="0"/>
        <w:jc w:val="center"/>
        <w:tblLook w:firstColumn="1" w:firstRow="1" w:lastColumn="0" w:lastRow="0" w:noHBand="0" w:noVBand="1" w:val="04A0"/>
        <w:tblBorders>
          <w:top w:val="single" w:sz="4" w:space="0" w:color="FBF1E0"/>
          <w:left w:val="single" w:sz="4" w:space="0" w:color="FBF1E0"/>
          <w:bottom w:val="single" w:sz="4" w:space="0" w:color="FBF1E0"/>
          <w:right w:val="single" w:sz="4" w:space="0" w:color="FBF1E0"/>
          <w:insideH w:val="single" w:sz="4" w:space="0" w:color="FBF1E0"/>
          <w:insideV w:val="single" w:sz="4" w:space="0" w:color="FBF1E0"/>
        </w:tblBorders>
      </w:tblPr>
      <w:tblGrid>
        <w:gridCol w:w="9173"/>
      </w:tblGrid>
      <w:tr>
        <w:tc>
          <w:tcPr>
            <w:tcW w:type="dxa" w:w="9173"/>
            <w:shd w:val="clear" w:color="auto" w:fill="FBF1E0"/>
            <w:tcMar>
              <w:top w:w="120" w:type="dxa"/>
              <w:bottom w:w="120" w:type="dxa"/>
              <w:start w:w="160" w:type="dxa"/>
              <w:end w:w="160" w:type="dxa"/>
            </w:tcMar>
            <w:tcBorders>
              <w:left w:val="single" w:sz="24" w:space="0" w:color="C88A1A"/>
            </w:tcBorders>
          </w:tcPr>
          <w:p>
            <w:pPr>
              <w:spacing w:after="60"/>
            </w:pPr>
            <w:r>
              <w:rPr>
                <w:rFonts w:ascii="Calibri" w:hAnsi="Calibri"/>
                <w:b/>
                <w:color w:val="C88A1A"/>
                <w:sz w:val="21"/>
              </w:rPr>
              <w:t>Safety ceiling for the whole pipeline</w:t>
            </w:r>
          </w:p>
          <w:p>
            <w:pPr>
              <w:spacing w:after="0"/>
            </w:pPr>
            <w:r>
              <w:rPr>
                <w:rFonts w:ascii="Calibri" w:hAnsi="Calibri"/>
                <w:i w:val="0"/>
                <w:color w:val="141B2E"/>
                <w:sz w:val="20"/>
              </w:rPr>
              <w:t>Everything the trained model does is advisory. It produces candidate actions and evidence; it never blocks a publisher, withholds a payout, or accuses a person. The readiness report keeps AUTOMATED_ACTION_READY false until first-party labelled production traffic, legal review, and an appeal/rollback process are recorded.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2  </w:t>
      </w:r>
      <w:r>
        <w:rPr>
          <w:rFonts w:ascii="Calibri" w:hAnsi="Calibri"/>
          <w:b/>
          <w:color w:val="102A54"/>
          <w:sz w:val="34"/>
        </w:rPr>
        <w:t>Where training ends and deployment begins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736"/>
            <w:shd w:val="clear" w:color="auto" w:fill="0E7C86"/>
            <w:tcMar>
              <w:top w:w="60" w:type="dxa"/>
              <w:bottom w:w="60" w:type="dxa"/>
              <w:start w:w="110" w:type="dxa"/>
              <w:end w:w="110" w:type="dxa"/>
            </w:tcMar>
            <w:vAlign w:val="center"/>
          </w:tcPr>
          <w:p>
            <w:pPr>
              <w:spacing w:after="0"/>
            </w:pPr>
            <w:r>
              <w:rPr>
                <w:rFonts w:ascii="Calibri" w:hAnsi="Calibri"/>
                <w:b/>
                <w:color w:val="FFFFFF"/>
                <w:sz w:val="19"/>
              </w:rPr>
              <w:t>Phase</w:t>
            </w:r>
          </w:p>
        </w:tc>
        <w:tc>
          <w:tcPr>
            <w:tcW w:type="dxa" w:w="475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happens</w:t>
            </w:r>
          </w:p>
        </w:tc>
        <w:tc>
          <w:tcPr>
            <w:tcW w:type="dxa" w:w="2304"/>
            <w:shd w:val="clear" w:color="auto" w:fill="0E7C86"/>
            <w:tcMar>
              <w:top w:w="60" w:type="dxa"/>
              <w:bottom w:w="60" w:type="dxa"/>
              <w:start w:w="110" w:type="dxa"/>
              <w:end w:w="110" w:type="dxa"/>
            </w:tcMar>
            <w:vAlign w:val="center"/>
          </w:tcPr>
          <w:p>
            <w:pPr>
              <w:spacing w:after="0"/>
            </w:pPr>
            <w:r>
              <w:rPr>
                <w:rFonts w:ascii="Calibri" w:hAnsi="Calibri"/>
                <w:b/>
                <w:color w:val="FFFFFF"/>
                <w:sz w:val="19"/>
              </w:rPr>
              <w:t>Document</w:t>
            </w:r>
          </w:p>
        </w:tc>
      </w:tr>
      <w:tr>
        <w:tc>
          <w:tcPr>
            <w:tcW w:type="dxa" w:w="2736"/>
            <w:shd w:val="clear" w:color="auto" w:fill="F4F7FB"/>
            <w:tcMar>
              <w:top w:w="60" w:type="dxa"/>
              <w:bottom w:w="60" w:type="dxa"/>
              <w:start w:w="110" w:type="dxa"/>
              <w:end w:w="110" w:type="dxa"/>
            </w:tcMar>
            <w:vAlign w:val="center"/>
          </w:tcPr>
          <w:p>
            <w:pPr>
              <w:spacing w:after="0" w:line="252" w:lineRule="auto"/>
            </w:pPr>
            <w:r>
              <w:rPr>
                <w:rFonts w:ascii="Calibri" w:hAnsi="Calibri"/>
                <w:b/>
                <w:i w:val="0"/>
                <w:color w:val="141B2E"/>
                <w:sz w:val="19"/>
              </w:rPr>
              <w:t>Training</w:t>
            </w:r>
            <w:r>
              <w:rPr>
                <w:rFonts w:ascii="Calibri" w:hAnsi="Calibri"/>
                <w:i w:val="0"/>
                <w:color w:val="141B2E"/>
                <w:sz w:val="19"/>
              </w:rPr>
              <w:t xml:space="preserve"> (this guide)</w:t>
            </w:r>
          </w:p>
        </w:tc>
        <w:tc>
          <w:tcPr>
            <w:tcW w:type="dxa" w:w="475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Build, run the workflow, train and calibrate, </w:t>
            </w:r>
            <w:r>
              <w:rPr>
                <w:rFonts w:ascii="Calibri" w:hAnsi="Calibri"/>
                <w:b/>
                <w:i w:val="0"/>
                <w:color w:val="141B2E"/>
                <w:sz w:val="19"/>
              </w:rPr>
              <w:t>emit the network</w:t>
            </w:r>
          </w:p>
        </w:tc>
        <w:tc>
          <w:tcPr>
            <w:tcW w:type="dxa" w:w="230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Training Guide</w:t>
            </w:r>
          </w:p>
        </w:tc>
      </w:tr>
      <w:tr>
        <w:tc>
          <w:tcPr>
            <w:tcW w:type="dxa" w:w="2736"/>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Deployment</w:t>
            </w:r>
          </w:p>
        </w:tc>
        <w:tc>
          <w:tcPr>
            <w:tcW w:type="dxa" w:w="475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Load the emitted network, configure event sources, run the advisory scorer</w:t>
            </w:r>
          </w:p>
        </w:tc>
        <w:tc>
          <w:tcPr>
            <w:tcW w:type="dxa" w:w="230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Deployment Guide</w:t>
            </w:r>
          </w:p>
        </w:tc>
      </w:tr>
    </w:tbl>
    <w:p>
      <w:pPr>
        <w:spacing w:after="0" w:before="0"/>
      </w:pPr>
      <w:r>
        <w:rPr>
          <w:sz w:val="12"/>
        </w:rPr>
      </w:r>
    </w:p>
    <w:p>
      <w:pPr>
        <w:spacing w:after="120"/>
      </w:pPr>
      <w:r>
        <w:rPr>
          <w:rFonts w:ascii="Calibri" w:hAnsi="Calibri"/>
          <w:i w:val="0"/>
          <w:color w:val="141B2E"/>
          <w:sz w:val="21"/>
        </w:rPr>
        <w:t xml:space="preserve">The hand-off is a single directory of generated artifacts (Step 6). Training </w:t>
      </w:r>
      <w:r>
        <w:rPr>
          <w:rFonts w:ascii="Calibri" w:hAnsi="Calibri"/>
          <w:b/>
          <w:i w:val="0"/>
          <w:color w:val="141B2E"/>
          <w:sz w:val="21"/>
        </w:rPr>
        <w:t>produces</w:t>
      </w:r>
      <w:r>
        <w:rPr>
          <w:rFonts w:ascii="Calibri" w:hAnsi="Calibri"/>
          <w:i w:val="0"/>
          <w:color w:val="141B2E"/>
          <w:sz w:val="21"/>
        </w:rPr>
        <w:t xml:space="preserve"> it; deployment </w:t>
      </w:r>
      <w:r>
        <w:rPr>
          <w:rFonts w:ascii="Calibri" w:hAnsi="Calibri"/>
          <w:b/>
          <w:i w:val="0"/>
          <w:color w:val="141B2E"/>
          <w:sz w:val="21"/>
        </w:rPr>
        <w:t>consumes</w:t>
      </w:r>
      <w:r>
        <w:rPr>
          <w:rFonts w:ascii="Calibri" w:hAnsi="Calibri"/>
          <w:i w:val="0"/>
          <w:color w:val="141B2E"/>
          <w:sz w:val="21"/>
        </w:rPr>
        <w:t xml:space="preserve"> it. The trainer writes JNeopallium-ready layer and neuron configuration with the trained heads, calibration, and thresholds inside, so the files that record your run are the files the runtime boots from.</w:t>
      </w:r>
    </w:p>
    <w:p>
      <w:pPr>
        <w:keepNext/>
        <w:spacing w:before="320" w:after="40"/>
        <w:pBdr>
          <w:bottom w:val="single" w:sz="10" w:space="4" w:color="0E7C86"/>
        </w:pBdr>
      </w:pPr>
      <w:r>
        <w:rPr>
          <w:rFonts w:ascii="Calibri" w:hAnsi="Calibri"/>
          <w:b/>
          <w:color w:val="0E7C86"/>
          <w:sz w:val="34"/>
        </w:rPr>
        <w:t xml:space="preserve">3  </w:t>
      </w:r>
      <w:r>
        <w:rPr>
          <w:rFonts w:ascii="Calibri" w:hAnsi="Calibri"/>
          <w:b/>
          <w:color w:val="102A54"/>
          <w:sz w:val="34"/>
        </w:rPr>
        <w:t>Prerequisites and system requirements</w:t>
      </w:r>
    </w:p>
    <w:p>
      <w:pPr>
        <w:keepNext/>
        <w:spacing w:before="240" w:after="40"/>
      </w:pPr>
      <w:r>
        <w:rPr>
          <w:rFonts w:ascii="Calibri" w:hAnsi="Calibri"/>
          <w:b/>
          <w:color w:val="1C5D99"/>
          <w:sz w:val="26"/>
        </w:rPr>
        <w:t>Toolchain</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3058"/>
        <w:gridCol w:w="3058"/>
        <w:gridCol w:w="3058"/>
      </w:tblGrid>
      <w:tr>
        <w:tc>
          <w:tcPr>
            <w:tcW w:type="dxa" w:w="2592"/>
            <w:shd w:val="clear" w:color="auto" w:fill="0E7C86"/>
            <w:tcMar>
              <w:top w:w="60" w:type="dxa"/>
              <w:bottom w:w="60" w:type="dxa"/>
              <w:start w:w="110" w:type="dxa"/>
              <w:end w:w="110" w:type="dxa"/>
            </w:tcMar>
            <w:vAlign w:val="center"/>
          </w:tcPr>
          <w:p>
            <w:pPr>
              <w:spacing w:after="0"/>
            </w:pPr>
            <w:r>
              <w:rPr>
                <w:rFonts w:ascii="Calibri" w:hAnsi="Calibri"/>
                <w:b/>
                <w:color w:val="FFFFFF"/>
                <w:sz w:val="19"/>
              </w:rPr>
              <w:t>Tool</w:t>
            </w:r>
          </w:p>
        </w:tc>
        <w:tc>
          <w:tcPr>
            <w:tcW w:type="dxa" w:w="2880"/>
            <w:shd w:val="clear" w:color="auto" w:fill="0E7C86"/>
            <w:tcMar>
              <w:top w:w="60" w:type="dxa"/>
              <w:bottom w:w="60" w:type="dxa"/>
              <w:start w:w="110" w:type="dxa"/>
              <w:end w:w="110" w:type="dxa"/>
            </w:tcMar>
            <w:vAlign w:val="center"/>
          </w:tcPr>
          <w:p>
            <w:pPr>
              <w:spacing w:after="0"/>
            </w:pPr>
            <w:r>
              <w:rPr>
                <w:rFonts w:ascii="Calibri" w:hAnsi="Calibri"/>
                <w:b/>
                <w:color w:val="FFFFFF"/>
                <w:sz w:val="19"/>
              </w:rPr>
              <w:t>Version</w:t>
            </w:r>
          </w:p>
        </w:tc>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Why</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Java JDK</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17 or newer (LTS)</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Build and run the worker / runtime scorer</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Apache Maven</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3.9 or newer</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Multi-module build of master + worker</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Python</w:t>
            </w:r>
          </w:p>
        </w:tc>
        <w:tc>
          <w:tcPr>
            <w:tcW w:type="dxa" w:w="288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3.10+ (3.13 tested)</w:t>
            </w:r>
          </w:p>
        </w:tc>
        <w:tc>
          <w:tcPr>
            <w:tcW w:type="dxa" w:w="432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Runs the workflow; no third-party packages required</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Git</w:t>
            </w:r>
          </w:p>
        </w:tc>
        <w:tc>
          <w:tcPr>
            <w:tcW w:type="dxa" w:w="288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any recent</w:t>
            </w:r>
          </w:p>
        </w:tc>
        <w:tc>
          <w:tcPr>
            <w:tcW w:type="dxa" w:w="432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Clone the repository</w:t>
            </w:r>
          </w:p>
        </w:tc>
      </w:tr>
    </w:tbl>
    <w:p>
      <w:pPr>
        <w:spacing w:after="0" w:before="0"/>
      </w:pPr>
      <w:r>
        <w:rPr>
          <w:sz w:val="12"/>
        </w:rPr>
      </w:r>
    </w:p>
    <w:p>
      <w:pPr>
        <w:spacing w:after="120"/>
      </w:pPr>
      <w:r>
        <w:rPr>
          <w:rFonts w:ascii="Calibri" w:hAnsi="Calibri"/>
          <w:i w:val="0"/>
          <w:color w:val="141B2E"/>
          <w:sz w:val="21"/>
        </w:rPr>
        <w:t xml:space="preserve">The workflow runs fully </w:t>
      </w:r>
      <w:r>
        <w:rPr>
          <w:rFonts w:ascii="Calibri" w:hAnsi="Calibri"/>
          <w:b/>
          <w:i w:val="0"/>
          <w:color w:val="141B2E"/>
          <w:sz w:val="21"/>
        </w:rPr>
        <w:t>offline and deterministically</w:t>
      </w:r>
      <w:r>
        <w:rPr>
          <w:rFonts w:ascii="Calibri" w:hAnsi="Calibri"/>
          <w:i w:val="0"/>
          <w:color w:val="141B2E"/>
          <w:sz w:val="21"/>
        </w:rPr>
        <w:t xml:space="preserve"> — it does not ask for manual files. Optional public sources that are unavailable, license-blocked, or credential-gated are simply recorded as such; the deterministic simulator supplies coverage for the fraud classes that lack complete public labels.</w:t>
      </w:r>
    </w:p>
    <w:p>
      <w:pPr>
        <w:keepNext/>
        <w:spacing w:before="240" w:after="40"/>
      </w:pPr>
      <w:r>
        <w:rPr>
          <w:rFonts w:ascii="Calibri" w:hAnsi="Calibri"/>
          <w:b/>
          <w:color w:val="1C5D99"/>
          <w:sz w:val="26"/>
        </w:rPr>
        <w:t>Verify the toolchain</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java -version       # expect 17 or newer</w:t>
            </w:r>
          </w:p>
          <w:p>
            <w:pPr>
              <w:spacing w:after="0" w:line="254" w:lineRule="auto"/>
            </w:pPr>
            <w:r>
              <w:rPr>
                <w:rFonts w:ascii="Consolas" w:hAnsi="Consolas"/>
                <w:color w:val="D6E7C8"/>
                <w:sz w:val="18"/>
              </w:rPr>
              <w:t>mvn -version        # expect 3.9 or newer</w:t>
            </w:r>
          </w:p>
          <w:p>
            <w:pPr>
              <w:spacing w:after="0" w:line="254" w:lineRule="auto"/>
            </w:pPr>
            <w:r>
              <w:rPr>
                <w:rFonts w:ascii="Consolas" w:hAnsi="Consolas"/>
                <w:color w:val="D6E7C8"/>
                <w:sz w:val="18"/>
              </w:rPr>
              <w:t>python --version    # expect 3.10 or newer</w:t>
            </w:r>
          </w:p>
        </w:tc>
      </w:tr>
    </w:tbl>
    <w:p>
      <w:pPr>
        <w:spacing w:after="0" w:before="0"/>
      </w:pPr>
      <w:r>
        <w:rPr>
          <w:sz w:val="8"/>
        </w:rPr>
      </w:r>
    </w:p>
    <w:p>
      <w:pPr>
        <w:keepNext/>
        <w:spacing w:before="320" w:after="40"/>
        <w:pBdr>
          <w:bottom w:val="single" w:sz="10" w:space="4" w:color="0E7C86"/>
        </w:pBdr>
      </w:pPr>
      <w:r>
        <w:rPr>
          <w:rFonts w:ascii="Calibri" w:hAnsi="Calibri"/>
          <w:b/>
          <w:color w:val="0E7C86"/>
          <w:sz w:val="34"/>
        </w:rPr>
        <w:t xml:space="preserve">4  </w:t>
      </w:r>
      <w:r>
        <w:rPr>
          <w:rFonts w:ascii="Calibri" w:hAnsi="Calibri"/>
          <w:b/>
          <w:color w:val="102A54"/>
          <w:sz w:val="34"/>
        </w:rPr>
        <w:t>Step 1 — Get the source and 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w:t>
            </w:r>
          </w:p>
          <w:p>
            <w:pPr>
              <w:spacing w:after="0" w:line="254" w:lineRule="auto"/>
            </w:pPr>
            <w:r>
              <w:rPr>
                <w:rFonts w:ascii="Consolas" w:hAnsi="Consolas"/>
                <w:color w:val="D6E7C8"/>
                <w:sz w:val="18"/>
              </w:rPr>
              <w:t>cd jneopallium</w:t>
            </w:r>
          </w:p>
          <w:p>
            <w:pPr>
              <w:spacing w:after="0" w:line="254" w:lineRule="auto"/>
            </w:pPr>
            <w:r>
              <w:rPr>
                <w:rFonts w:ascii="Consolas" w:hAnsi="Consolas"/>
                <w:color w:val="D6E7C8"/>
                <w:sz w:val="18"/>
              </w:rPr>
              <w:t>mvn clean install</w:t>
            </w:r>
          </w:p>
        </w:tc>
      </w:tr>
    </w:tbl>
    <w:p>
      <w:pPr>
        <w:spacing w:after="0" w:before="0"/>
      </w:pPr>
      <w:r>
        <w:rPr>
          <w:sz w:val="8"/>
        </w:rPr>
      </w:r>
    </w:p>
    <w:p>
      <w:pPr>
        <w:spacing w:after="120"/>
      </w:pPr>
      <w:r>
        <w:rPr>
          <w:rFonts w:ascii="Calibri" w:hAnsi="Calibri"/>
          <w:i w:val="0"/>
          <w:color w:val="141B2E"/>
          <w:sz w:val="21"/>
        </w:rPr>
        <w:t xml:space="preserve">The build installs </w:t>
      </w:r>
      <w:r>
        <w:rPr>
          <w:rFonts w:ascii="Consolas" w:hAnsi="Consolas"/>
          <w:color w:val="102A54"/>
          <w:sz w:val="20"/>
        </w:rPr>
        <w:t>com.rakovpublic.jneopallium:worker:1.0</w:t>
      </w:r>
      <w:r>
        <w:rPr>
          <w:rFonts w:ascii="Calibri" w:hAnsi="Calibri"/>
          <w:i w:val="0"/>
          <w:color w:val="141B2E"/>
          <w:sz w:val="21"/>
        </w:rPr>
        <w:t>. The worker already contains the real ad-fraud neuron, processor, and signal classes the trained network references (</w:t>
      </w:r>
      <w:r>
        <w:rPr>
          <w:rFonts w:ascii="Consolas" w:hAnsi="Consolas"/>
          <w:color w:val="102A54"/>
          <w:sz w:val="20"/>
        </w:rPr>
        <w:t>com.rakovpublic.jneuropallium.worker.net.neuron.impl.adfraud.*</w:t>
      </w:r>
      <w:r>
        <w:rPr>
          <w:rFonts w:ascii="Calibri" w:hAnsi="Calibri"/>
          <w:i w:val="0"/>
          <w:color w:val="141B2E"/>
          <w:sz w:val="21"/>
        </w:rPr>
        <w:t xml:space="preserve"> and friends), so no extra hand-written classes are required to train.</w:t>
      </w:r>
    </w:p>
    <w:p>
      <w:pPr>
        <w:keepNext/>
        <w:spacing w:before="320" w:after="40"/>
        <w:pBdr>
          <w:bottom w:val="single" w:sz="10" w:space="4" w:color="0E7C86"/>
        </w:pBdr>
      </w:pPr>
      <w:r>
        <w:rPr>
          <w:rFonts w:ascii="Calibri" w:hAnsi="Calibri"/>
          <w:b/>
          <w:color w:val="0E7C86"/>
          <w:sz w:val="34"/>
        </w:rPr>
        <w:t xml:space="preserve">5  </w:t>
      </w:r>
      <w:r>
        <w:rPr>
          <w:rFonts w:ascii="Calibri" w:hAnsi="Calibri"/>
          <w:b/>
          <w:color w:val="102A54"/>
          <w:sz w:val="34"/>
        </w:rPr>
        <w:t>Step 2 — Run the deterministic workflow</w:t>
      </w:r>
    </w:p>
    <w:p>
      <w:pPr>
        <w:spacing w:after="120"/>
      </w:pPr>
      <w:r>
        <w:rPr>
          <w:rFonts w:ascii="Calibri" w:hAnsi="Calibri"/>
          <w:i w:val="0"/>
          <w:color w:val="141B2E"/>
          <w:sz w:val="21"/>
        </w:rPr>
        <w:t>One command performs the entire workflow: source discovery, deterministic scenario generation, normalization, leakage audit, training, calibration, evaluation, model export, Java tests, demo replay, and a readiness report.</w:t>
      </w:r>
    </w:p>
    <w:p>
      <w:pPr>
        <w:keepNext/>
        <w:spacing w:before="180" w:after="20"/>
      </w:pPr>
      <w:r>
        <w:rPr>
          <w:rFonts w:ascii="Calibri" w:hAnsi="Calibri"/>
          <w:b/>
          <w:color w:val="0E7C86"/>
          <w:sz w:val="22"/>
        </w:rPr>
        <w:t>Linux / macOS</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scripts/demo-ad-fraud/run_all.sh</w:t>
            </w:r>
          </w:p>
        </w:tc>
      </w:tr>
    </w:tbl>
    <w:p>
      <w:pPr>
        <w:spacing w:after="0" w:before="0"/>
      </w:pPr>
      <w:r>
        <w:rPr>
          <w:sz w:val="8"/>
        </w:rPr>
      </w:r>
    </w:p>
    <w:p>
      <w:pPr>
        <w:keepNext/>
        <w:spacing w:before="180" w:after="20"/>
      </w:pPr>
      <w:r>
        <w:rPr>
          <w:rFonts w:ascii="Calibri" w:hAnsi="Calibri"/>
          <w:b/>
          <w:color w:val="0E7C86"/>
          <w:sz w:val="22"/>
        </w:rPr>
        <w:t>Windows (PowerShell)</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powershell -ExecutionPolicy Bypass -File scripts/demo-ad-fraud/run_all.ps1</w:t>
            </w:r>
          </w:p>
        </w:tc>
      </w:tr>
    </w:tbl>
    <w:p>
      <w:pPr>
        <w:spacing w:after="0" w:before="0"/>
      </w:pPr>
      <w:r>
        <w:rPr>
          <w:sz w:val="8"/>
        </w:rPr>
      </w:r>
    </w:p>
    <w:p>
      <w:pPr>
        <w:keepNext/>
        <w:spacing w:before="180" w:after="20"/>
      </w:pPr>
      <w:r>
        <w:rPr>
          <w:rFonts w:ascii="Calibri" w:hAnsi="Calibri"/>
          <w:b/>
          <w:color w:val="0E7C86"/>
          <w:sz w:val="22"/>
        </w:rPr>
        <w:t>Common flags</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2592"/>
            <w:shd w:val="clear" w:color="auto" w:fill="0E7C86"/>
            <w:tcMar>
              <w:top w:w="60" w:type="dxa"/>
              <w:bottom w:w="60" w:type="dxa"/>
              <w:start w:w="110" w:type="dxa"/>
              <w:end w:w="110" w:type="dxa"/>
            </w:tcMar>
            <w:vAlign w:val="center"/>
          </w:tcPr>
          <w:p>
            <w:pPr>
              <w:spacing w:after="0"/>
            </w:pPr>
            <w:r>
              <w:rPr>
                <w:rFonts w:ascii="Calibri" w:hAnsi="Calibri"/>
                <w:b/>
                <w:color w:val="FFFFFF"/>
                <w:sz w:val="19"/>
              </w:rPr>
              <w:t>Flag</w:t>
            </w:r>
          </w:p>
        </w:tc>
        <w:tc>
          <w:tcPr>
            <w:tcW w:type="dxa" w:w="7200"/>
            <w:shd w:val="clear" w:color="auto" w:fill="0E7C86"/>
            <w:tcMar>
              <w:top w:w="60" w:type="dxa"/>
              <w:bottom w:w="60" w:type="dxa"/>
              <w:start w:w="110" w:type="dxa"/>
              <w:end w:w="110" w:type="dxa"/>
            </w:tcMar>
            <w:vAlign w:val="center"/>
          </w:tcPr>
          <w:p>
            <w:pPr>
              <w:spacing w:after="0"/>
            </w:pPr>
            <w:r>
              <w:rPr>
                <w:rFonts w:ascii="Calibri" w:hAnsi="Calibri"/>
                <w:b/>
                <w:color w:val="FFFFFF"/>
                <w:sz w:val="19"/>
              </w:rPr>
              <w:t>Effect</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--offline</w:t>
            </w:r>
          </w:p>
        </w:tc>
        <w:tc>
          <w:tcPr>
            <w:tcW w:type="dxa" w:w="72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Never attempt network downloads; record sources as unavailable</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--quick</w:t>
            </w:r>
          </w:p>
        </w:tc>
        <w:tc>
          <w:tcPr>
            <w:tcW w:type="dxa" w:w="72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Smaller, faster corpus (still ≥60 events per scenario)</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--max-rows N</w:t>
            </w:r>
          </w:p>
        </w:tc>
        <w:tc>
          <w:tcPr>
            <w:tcW w:type="dxa" w:w="72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Corpus size (default 1900 ≈ 100 events per scenario)</w:t>
            </w:r>
          </w:p>
        </w:tc>
      </w:tr>
      <w:tr>
        <w:tc>
          <w:tcPr>
            <w:tcW w:type="dxa" w:w="2592"/>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--seed N</w:t>
            </w:r>
          </w:p>
        </w:tc>
        <w:tc>
          <w:tcPr>
            <w:tcW w:type="dxa" w:w="7200"/>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Deterministic seed (default 1729)</w:t>
            </w:r>
          </w:p>
        </w:tc>
      </w:tr>
      <w:tr>
        <w:tc>
          <w:tcPr>
            <w:tcW w:type="dxa" w:w="2592"/>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--skip-java</w:t>
            </w:r>
          </w:p>
        </w:tc>
        <w:tc>
          <w:tcPr>
            <w:tcW w:type="dxa" w:w="7200"/>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Skip the Maven Java tests (useful while iterating)</w:t>
            </w:r>
          </w:p>
        </w:tc>
      </w:tr>
    </w:tbl>
    <w:p>
      <w:pPr>
        <w:spacing w:after="0" w:before="0"/>
      </w:pPr>
      <w:r>
        <w:rPr>
          <w:sz w:val="12"/>
        </w:rPr>
      </w:r>
    </w:p>
    <w:p>
      <w:pPr>
        <w:spacing w:after="120"/>
      </w:pPr>
      <w:r>
        <w:rPr>
          <w:rFonts w:ascii="Calibri" w:hAnsi="Calibri"/>
          <w:i w:val="0"/>
          <w:color w:val="141B2E"/>
          <w:sz w:val="21"/>
        </w:rPr>
        <w:t xml:space="preserve">Example: </w:t>
      </w:r>
      <w:r>
        <w:rPr>
          <w:rFonts w:ascii="Consolas" w:hAnsi="Consolas"/>
          <w:color w:val="102A54"/>
          <w:sz w:val="20"/>
        </w:rPr>
        <w:t>python scripts/demo-ad-fraud/run_all.py --offline</w:t>
      </w:r>
      <w:r>
        <w:rPr>
          <w:rFonts w:ascii="Calibri" w:hAnsi="Calibri"/>
          <w:i w:val="0"/>
          <w:color w:val="141B2E"/>
          <w:sz w:val="21"/>
        </w:rPr>
        <w:t>. The run prints a JSON summary with the macro-F1, the readiness flags, and the Java-test status.</w:t>
      </w:r>
    </w:p>
    <w:p>
      <w:pPr>
        <w:keepNext/>
        <w:spacing w:before="320" w:after="40"/>
        <w:pBdr>
          <w:bottom w:val="single" w:sz="10" w:space="4" w:color="0E7C86"/>
        </w:pBdr>
      </w:pPr>
      <w:r>
        <w:rPr>
          <w:rFonts w:ascii="Calibri" w:hAnsi="Calibri"/>
          <w:b/>
          <w:color w:val="0E7C86"/>
          <w:sz w:val="34"/>
        </w:rPr>
        <w:t xml:space="preserve">6  </w:t>
      </w:r>
      <w:r>
        <w:rPr>
          <w:rFonts w:ascii="Calibri" w:hAnsi="Calibri"/>
          <w:b/>
          <w:color w:val="102A54"/>
          <w:sz w:val="34"/>
        </w:rPr>
        <w:t>Step 3 — Understand the generated outputs</w:t>
      </w:r>
    </w:p>
    <w:p>
      <w:pPr>
        <w:spacing w:after="120"/>
      </w:pPr>
      <w:r>
        <w:rPr>
          <w:rFonts w:ascii="Calibri" w:hAnsi="Calibri"/>
          <w:i w:val="0"/>
          <w:color w:val="141B2E"/>
          <w:sz w:val="21"/>
        </w:rPr>
        <w:t xml:space="preserve">Workflow evidence is written under </w:t>
      </w:r>
      <w:r>
        <w:rPr>
          <w:rFonts w:ascii="Consolas" w:hAnsi="Consolas"/>
          <w:color w:val="102A54"/>
          <w:sz w:val="20"/>
        </w:rPr>
        <w:t>target/jneopallium-ad-fraud/</w:t>
      </w:r>
      <w:r>
        <w:rPr>
          <w:rFonts w:ascii="Calibri" w:hAnsi="Calibri"/>
          <w:i w:val="0"/>
          <w:color w:val="141B2E"/>
          <w:sz w:val="21"/>
        </w:rPr>
        <w:t xml:space="preserve">, and the deployable model bundle is written to </w:t>
      </w:r>
      <w:r>
        <w:rPr>
          <w:rFonts w:ascii="Consolas" w:hAnsi="Consolas"/>
          <w:color w:val="102A54"/>
          <w:sz w:val="20"/>
        </w:rPr>
        <w:t>worker/src/main/resources/model/advertising-fraud/</w:t>
      </w:r>
      <w:r>
        <w:rPr>
          <w:rFonts w:ascii="Calibri" w:hAnsi="Calibri"/>
          <w:i w:val="0"/>
          <w:color w:val="141B2E"/>
          <w:sz w:val="21"/>
        </w:rPr>
        <w:t>. The summary looks like:</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w:t>
            </w:r>
          </w:p>
          <w:p>
            <w:pPr>
              <w:spacing w:after="0" w:line="254" w:lineRule="auto"/>
            </w:pPr>
            <w:r>
              <w:rPr>
                <w:rFonts w:ascii="Consolas" w:hAnsi="Consolas"/>
                <w:color w:val="D6E7C8"/>
                <w:sz w:val="18"/>
              </w:rPr>
              <w:t xml:space="preserve">  "macroF1": 0.966132,</w:t>
            </w:r>
          </w:p>
          <w:p>
            <w:pPr>
              <w:spacing w:after="0" w:line="254" w:lineRule="auto"/>
            </w:pPr>
            <w:r>
              <w:rPr>
                <w:rFonts w:ascii="Consolas" w:hAnsi="Consolas"/>
                <w:color w:val="D6E7C8"/>
                <w:sz w:val="18"/>
              </w:rPr>
              <w:t xml:space="preserve">  "readiness": {</w:t>
            </w:r>
          </w:p>
          <w:p>
            <w:pPr>
              <w:spacing w:after="0" w:line="254" w:lineRule="auto"/>
            </w:pPr>
            <w:r>
              <w:rPr>
                <w:rFonts w:ascii="Consolas" w:hAnsi="Consolas"/>
                <w:color w:val="D6E7C8"/>
                <w:sz w:val="18"/>
              </w:rPr>
              <w:t xml:space="preserve">    "ENGINEERING_READY": true, "SHADOW_READY": true,</w:t>
            </w:r>
          </w:p>
          <w:p>
            <w:pPr>
              <w:spacing w:after="0" w:line="254" w:lineRule="auto"/>
            </w:pPr>
            <w:r>
              <w:rPr>
                <w:rFonts w:ascii="Consolas" w:hAnsi="Consolas"/>
                <w:color w:val="D6E7C8"/>
                <w:sz w:val="18"/>
              </w:rPr>
              <w:t xml:space="preserve">    "ADVISORY_READY": true, "AUTOMATED_ACTION_READY": false</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xml:space="preserve">  "javaTests": "passed"</w:t>
            </w:r>
          </w:p>
          <w:p>
            <w:pPr>
              <w:spacing w:after="0" w:line="254" w:lineRule="auto"/>
            </w:pPr>
            <w:r>
              <w:rPr>
                <w:rFonts w:ascii="Consolas" w:hAnsi="Consolas"/>
                <w:color w:val="D6E7C8"/>
                <w:sz w:val="18"/>
              </w:rPr>
              <w:t>}</w:t>
            </w:r>
          </w:p>
        </w:tc>
      </w:tr>
    </w:tbl>
    <w:p>
      <w:pPr>
        <w:spacing w:after="0" w:before="0"/>
      </w:pPr>
      <w:r>
        <w:rPr>
          <w:sz w:val="8"/>
        </w:rPr>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3456"/>
            <w:shd w:val="clear" w:color="auto" w:fill="0E7C86"/>
            <w:tcMar>
              <w:top w:w="60" w:type="dxa"/>
              <w:bottom w:w="60" w:type="dxa"/>
              <w:start w:w="110" w:type="dxa"/>
              <w:end w:w="110" w:type="dxa"/>
            </w:tcMar>
            <w:vAlign w:val="center"/>
          </w:tcPr>
          <w:p>
            <w:pPr>
              <w:spacing w:after="0"/>
            </w:pPr>
            <w:r>
              <w:rPr>
                <w:rFonts w:ascii="Calibri" w:hAnsi="Calibri"/>
                <w:b/>
                <w:color w:val="FFFFFF"/>
                <w:sz w:val="19"/>
              </w:rPr>
              <w:t>Readiness flag</w:t>
            </w:r>
          </w:p>
        </w:tc>
        <w:tc>
          <w:tcPr>
            <w:tcW w:type="dxa" w:w="6336"/>
            <w:shd w:val="clear" w:color="auto" w:fill="0E7C86"/>
            <w:tcMar>
              <w:top w:w="60" w:type="dxa"/>
              <w:bottom w:w="60" w:type="dxa"/>
              <w:start w:w="110" w:type="dxa"/>
              <w:end w:w="110" w:type="dxa"/>
            </w:tcMar>
            <w:vAlign w:val="center"/>
          </w:tcPr>
          <w:p>
            <w:pPr>
              <w:spacing w:after="0"/>
            </w:pPr>
            <w:r>
              <w:rPr>
                <w:rFonts w:ascii="Calibri" w:hAnsi="Calibri"/>
                <w:b/>
                <w:color w:val="FFFFFF"/>
                <w:sz w:val="19"/>
              </w:rPr>
              <w:t>Meaning</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ENGINEERING_READY</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pipeline is wired, reproducible, and exports a valid bundle</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SHADOW_READY</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Safe to run read-only beside production, writing advisories to an audit sink</w:t>
            </w:r>
          </w:p>
        </w:tc>
      </w:tr>
      <w:tr>
        <w:tc>
          <w:tcPr>
            <w:tcW w:type="dxa" w:w="3456"/>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ADVISORY_READY</w:t>
            </w:r>
          </w:p>
        </w:tc>
        <w:tc>
          <w:tcPr>
            <w:tcW w:type="dxa" w:w="6336"/>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Safe to surface advisories to analysts</w:t>
            </w:r>
          </w:p>
        </w:tc>
      </w:tr>
      <w:tr>
        <w:tc>
          <w:tcPr>
            <w:tcW w:type="dxa" w:w="3456"/>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AUTOMATED_ACTION_READY</w:t>
            </w:r>
          </w:p>
        </w:tc>
        <w:tc>
          <w:tcPr>
            <w:tcW w:type="dxa" w:w="6336"/>
            <w:shd w:val="clear" w:color="auto" w:fill="FFFFFF"/>
            <w:tcMar>
              <w:top w:w="60" w:type="dxa"/>
              <w:bottom w:w="60" w:type="dxa"/>
              <w:start w:w="110" w:type="dxa"/>
              <w:end w:w="110" w:type="dxa"/>
            </w:tcMar>
            <w:vAlign w:val="center"/>
          </w:tcPr>
          <w:p>
            <w:pPr>
              <w:spacing w:after="0" w:line="252" w:lineRule="auto"/>
            </w:pPr>
            <w:r>
              <w:rPr>
                <w:rFonts w:ascii="Calibri" w:hAnsi="Calibri"/>
                <w:b/>
                <w:i w:val="0"/>
                <w:color w:val="141B2E"/>
                <w:sz w:val="19"/>
              </w:rPr>
              <w:t>Always false</w:t>
            </w:r>
            <w:r>
              <w:rPr>
                <w:rFonts w:ascii="Calibri" w:hAnsi="Calibri"/>
                <w:i w:val="0"/>
                <w:color w:val="141B2E"/>
                <w:sz w:val="19"/>
              </w:rPr>
              <w:t xml:space="preserve"> until first-party labels + legal review + appeal/rollback</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7  </w:t>
      </w:r>
      <w:r>
        <w:rPr>
          <w:rFonts w:ascii="Calibri" w:hAnsi="Calibri"/>
          <w:b/>
          <w:color w:val="102A54"/>
          <w:sz w:val="34"/>
        </w:rPr>
        <w:t>Step 4 — The workflow stages, explained</w:t>
      </w:r>
    </w:p>
    <w:p>
      <w:pPr>
        <w:spacing w:after="60" w:line="269" w:lineRule="auto"/>
        <w:ind w:left="720" w:hanging="317"/>
      </w:pPr>
      <w:r>
        <w:rPr>
          <w:rFonts w:ascii="Calibri" w:hAnsi="Calibri"/>
          <w:b/>
          <w:color w:val="0E7C86"/>
          <w:sz w:val="21"/>
        </w:rPr>
        <w:t xml:space="preserve">1.  </w:t>
      </w:r>
      <w:r>
        <w:rPr>
          <w:rFonts w:ascii="Calibri" w:hAnsi="Calibri"/>
          <w:b/>
          <w:i w:val="0"/>
          <w:color w:val="141B2E"/>
          <w:sz w:val="21"/>
        </w:rPr>
        <w:t>Source discovery &amp; bounded download.</w:t>
      </w:r>
      <w:r>
        <w:rPr>
          <w:rFonts w:ascii="Calibri" w:hAnsi="Calibri"/>
          <w:i w:val="0"/>
          <w:color w:val="141B2E"/>
          <w:sz w:val="21"/>
        </w:rPr>
        <w:t xml:space="preserve"> Public sources (e.g. Criteo attribution / click logs, ads.txt / sellers.json crawl, benign crawler identifiers) are catalogued; unavailable or credential-gated ones are recorded, not requested.</w:t>
      </w:r>
    </w:p>
    <w:p>
      <w:pPr>
        <w:spacing w:after="60" w:line="269" w:lineRule="auto"/>
        <w:ind w:left="720" w:hanging="317"/>
      </w:pPr>
      <w:r>
        <w:rPr>
          <w:rFonts w:ascii="Calibri" w:hAnsi="Calibri"/>
          <w:b/>
          <w:color w:val="0E7C86"/>
          <w:sz w:val="21"/>
        </w:rPr>
        <w:t xml:space="preserve">2.  </w:t>
      </w:r>
      <w:r>
        <w:rPr>
          <w:rFonts w:ascii="Calibri" w:hAnsi="Calibri"/>
          <w:b/>
          <w:i w:val="0"/>
          <w:color w:val="141B2E"/>
          <w:sz w:val="21"/>
        </w:rPr>
        <w:t>Deterministic scenario generation.</w:t>
      </w:r>
      <w:r>
        <w:rPr>
          <w:rFonts w:ascii="Calibri" w:hAnsi="Calibri"/>
          <w:i w:val="0"/>
          <w:color w:val="141B2E"/>
          <w:sz w:val="21"/>
        </w:rPr>
        <w:t xml:space="preserve"> A seeded simulator produces realistic events across ~19 scenarios (bots, click farms, incentivized cohorts, click spam/injection, postback forgery, inventory spoofing, plus legitimate and accidental traffic).</w:t>
      </w:r>
    </w:p>
    <w:p>
      <w:pPr>
        <w:spacing w:after="60" w:line="269" w:lineRule="auto"/>
        <w:ind w:left="720" w:hanging="317"/>
      </w:pPr>
      <w:r>
        <w:rPr>
          <w:rFonts w:ascii="Calibri" w:hAnsi="Calibri"/>
          <w:b/>
          <w:color w:val="0E7C86"/>
          <w:sz w:val="21"/>
        </w:rPr>
        <w:t xml:space="preserve">3.  </w:t>
      </w:r>
      <w:r>
        <w:rPr>
          <w:rFonts w:ascii="Calibri" w:hAnsi="Calibri"/>
          <w:b/>
          <w:i w:val="0"/>
          <w:color w:val="141B2E"/>
          <w:sz w:val="21"/>
        </w:rPr>
        <w:t>Normalization &amp; leakage audit.</w:t>
      </w:r>
      <w:r>
        <w:rPr>
          <w:rFonts w:ascii="Calibri" w:hAnsi="Calibri"/>
          <w:i w:val="0"/>
          <w:color w:val="141B2E"/>
          <w:sz w:val="21"/>
        </w:rPr>
        <w:t xml:space="preserve"> Events become canonical rows; the audit fails the run if any device / click / campaign identifier crosses split boundaries.</w:t>
      </w:r>
    </w:p>
    <w:p>
      <w:pPr>
        <w:spacing w:after="60" w:line="269" w:lineRule="auto"/>
        <w:ind w:left="720" w:hanging="317"/>
      </w:pPr>
      <w:r>
        <w:rPr>
          <w:rFonts w:ascii="Calibri" w:hAnsi="Calibri"/>
          <w:b/>
          <w:color w:val="0E7C86"/>
          <w:sz w:val="21"/>
        </w:rPr>
        <w:t xml:space="preserve">4.  </w:t>
      </w:r>
      <w:r>
        <w:rPr>
          <w:rFonts w:ascii="Calibri" w:hAnsi="Calibri"/>
          <w:b/>
          <w:i w:val="0"/>
          <w:color w:val="141B2E"/>
          <w:sz w:val="21"/>
        </w:rPr>
        <w:t>Training &amp; calibration.</w:t>
      </w:r>
      <w:r>
        <w:rPr>
          <w:rFonts w:ascii="Calibri" w:hAnsi="Calibri"/>
          <w:i w:val="0"/>
          <w:color w:val="141B2E"/>
          <w:sz w:val="21"/>
        </w:rPr>
        <w:t xml:space="preserve"> Class-weighted, L2-regularized logistic heads are fitted over base + behavioural-evidence + non-linear interaction features, then each head is Platt-calibrated on a held-out calibration split.</w:t>
      </w:r>
    </w:p>
    <w:p>
      <w:pPr>
        <w:spacing w:after="60" w:line="269" w:lineRule="auto"/>
        <w:ind w:left="720" w:hanging="317"/>
      </w:pPr>
      <w:r>
        <w:rPr>
          <w:rFonts w:ascii="Calibri" w:hAnsi="Calibri"/>
          <w:b/>
          <w:color w:val="0E7C86"/>
          <w:sz w:val="21"/>
        </w:rPr>
        <w:t xml:space="preserve">5.  </w:t>
      </w:r>
      <w:r>
        <w:rPr>
          <w:rFonts w:ascii="Calibri" w:hAnsi="Calibri"/>
          <w:b/>
          <w:i w:val="0"/>
          <w:color w:val="141B2E"/>
          <w:sz w:val="21"/>
        </w:rPr>
        <w:t>Cost-aware thresholds &amp; evaluation.</w:t>
      </w:r>
      <w:r>
        <w:rPr>
          <w:rFonts w:ascii="Calibri" w:hAnsi="Calibri"/>
          <w:i w:val="0"/>
          <w:color w:val="141B2E"/>
          <w:sz w:val="21"/>
        </w:rPr>
        <w:t xml:space="preserve"> Per-label operating points are chosen by expected utility; metrics include precision/recall/F1, PR/ROC-AUC, Brier, calibration error, and cost-weighted savings.</w:t>
      </w:r>
    </w:p>
    <w:p>
      <w:pPr>
        <w:spacing w:after="60" w:line="269" w:lineRule="auto"/>
        <w:ind w:left="720" w:hanging="317"/>
      </w:pPr>
      <w:r>
        <w:rPr>
          <w:rFonts w:ascii="Calibri" w:hAnsi="Calibri"/>
          <w:b/>
          <w:color w:val="0E7C86"/>
          <w:sz w:val="21"/>
        </w:rPr>
        <w:t xml:space="preserve">6.  </w:t>
      </w:r>
      <w:r>
        <w:rPr>
          <w:rFonts w:ascii="Calibri" w:hAnsi="Calibri"/>
          <w:b/>
          <w:i w:val="0"/>
          <w:color w:val="141B2E"/>
          <w:sz w:val="21"/>
        </w:rPr>
        <w:t>Export, tests, readiness, docs.</w:t>
      </w:r>
      <w:r>
        <w:rPr>
          <w:rFonts w:ascii="Calibri" w:hAnsi="Calibri"/>
          <w:i w:val="0"/>
          <w:color w:val="141B2E"/>
          <w:sz w:val="21"/>
        </w:rPr>
        <w:t xml:space="preserve"> The deployable network is written, Java tests run, and a readiness report and model/data cards are produced.</w:t>
      </w:r>
    </w:p>
    <w:p>
      <w:pPr>
        <w:keepNext/>
        <w:spacing w:before="320" w:after="40"/>
        <w:pBdr>
          <w:bottom w:val="single" w:sz="10" w:space="4" w:color="0E7C86"/>
        </w:pBdr>
      </w:pPr>
      <w:r>
        <w:rPr>
          <w:rFonts w:ascii="Calibri" w:hAnsi="Calibri"/>
          <w:b/>
          <w:color w:val="0E7C86"/>
          <w:sz w:val="34"/>
        </w:rPr>
        <w:t xml:space="preserve">8  </w:t>
      </w:r>
      <w:r>
        <w:rPr>
          <w:rFonts w:ascii="Calibri" w:hAnsi="Calibri"/>
          <w:b/>
          <w:color w:val="102A54"/>
          <w:sz w:val="34"/>
        </w:rPr>
        <w:t>Step 5 — Bring your own data (the canonical event)</w:t>
      </w:r>
    </w:p>
    <w:p>
      <w:pPr>
        <w:spacing w:after="120"/>
      </w:pPr>
      <w:r>
        <w:rPr>
          <w:rFonts w:ascii="Calibri" w:hAnsi="Calibri"/>
          <w:i w:val="0"/>
          <w:color w:val="141B2E"/>
          <w:sz w:val="21"/>
        </w:rPr>
        <w:t>To move beyond the reference corpus you supply your own canonical events. Each event keeps both event and ingest time and carries integrity, behavioural, supply-chain, and delayed-quality fields, plus label-provenance metadata. Raw personal identifiers must be HMAC-hashed before training, persistence, or logs.</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The split policy is the integrity guarantee</w:t>
            </w:r>
          </w:p>
          <w:p>
            <w:pPr>
              <w:spacing w:after="0"/>
            </w:pPr>
            <w:r>
              <w:rPr>
                <w:rFonts w:ascii="Calibri" w:hAnsi="Calibri"/>
                <w:i w:val="0"/>
                <w:color w:val="141B2E"/>
                <w:sz w:val="20"/>
              </w:rPr>
              <w:t>Never split by random row. Split by scenario, campaign episode, and deterministic replicate block, and keep an adversarial holdout — so reported quality reflects genuinely unseen traffic. The leakage audit enforces this automatically.</w:t>
            </w:r>
          </w:p>
        </w:tc>
      </w:tr>
    </w:tbl>
    <w:p>
      <w:pPr>
        <w:spacing w:after="0" w:before="0"/>
      </w:pPr>
      <w:r>
        <w:rPr>
          <w:sz w:val="12"/>
        </w:rPr>
      </w:r>
    </w:p>
    <w:p>
      <w:pPr>
        <w:spacing w:after="120"/>
      </w:pPr>
      <w:r>
        <w:rPr>
          <w:rFonts w:ascii="Calibri" w:hAnsi="Calibri"/>
          <w:i w:val="0"/>
          <w:color w:val="141B2E"/>
          <w:sz w:val="21"/>
        </w:rPr>
        <w:t xml:space="preserve">Label provenance matters: the reference model uses deterministic simulator labels and weak public-source metadata. Real production accuracy requires </w:t>
      </w:r>
      <w:r>
        <w:rPr>
          <w:rFonts w:ascii="Calibri" w:hAnsi="Calibri"/>
          <w:b/>
          <w:i w:val="0"/>
          <w:color w:val="141B2E"/>
          <w:sz w:val="21"/>
        </w:rPr>
        <w:t>first-party labelled traffic</w:t>
      </w:r>
      <w:r>
        <w:rPr>
          <w:rFonts w:ascii="Calibri" w:hAnsi="Calibri"/>
          <w:i w:val="0"/>
          <w:color w:val="141B2E"/>
          <w:sz w:val="21"/>
        </w:rPr>
        <w:t xml:space="preserve"> — confirmed chargebacks, MMP fraud rulings, manual analyst verdicts — and forward-time and unseen-publisher validation.</w:t>
      </w:r>
    </w:p>
    <w:p>
      <w:pPr>
        <w:keepNext/>
        <w:spacing w:before="320" w:after="40"/>
        <w:pBdr>
          <w:bottom w:val="single" w:sz="10" w:space="4" w:color="0E7C86"/>
        </w:pBdr>
      </w:pPr>
      <w:r>
        <w:rPr>
          <w:rFonts w:ascii="Calibri" w:hAnsi="Calibri"/>
          <w:b/>
          <w:color w:val="0E7C86"/>
          <w:sz w:val="34"/>
        </w:rPr>
        <w:t xml:space="preserve">9  </w:t>
      </w:r>
      <w:r>
        <w:rPr>
          <w:rFonts w:ascii="Calibri" w:hAnsi="Calibri"/>
          <w:b/>
          <w:color w:val="102A54"/>
          <w:sz w:val="34"/>
        </w:rPr>
        <w:t>Step 6 — The generated artifacts: a deployable network</w:t>
      </w:r>
    </w:p>
    <w:p>
      <w:pPr>
        <w:spacing w:after="120"/>
      </w:pPr>
      <w:r>
        <w:rPr>
          <w:rFonts w:ascii="Calibri" w:hAnsi="Calibri"/>
          <w:i w:val="0"/>
          <w:color w:val="141B2E"/>
          <w:sz w:val="21"/>
        </w:rPr>
        <w:t>Every run writes a directory of JNeopallium-style configuration that is ready to deploy as-is — the actual layer-and-neuron network the runtime boots from:</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320"/>
            <w:shd w:val="clear" w:color="auto" w:fill="0E7C86"/>
            <w:tcMar>
              <w:top w:w="60" w:type="dxa"/>
              <w:bottom w:w="60" w:type="dxa"/>
              <w:start w:w="110" w:type="dxa"/>
              <w:end w:w="110" w:type="dxa"/>
            </w:tcMar>
            <w:vAlign w:val="center"/>
          </w:tcPr>
          <w:p>
            <w:pPr>
              <w:spacing w:after="0"/>
            </w:pPr>
            <w:r>
              <w:rPr>
                <w:rFonts w:ascii="Calibri" w:hAnsi="Calibri"/>
                <w:b/>
                <w:color w:val="FFFFFF"/>
                <w:sz w:val="19"/>
              </w:rPr>
              <w:t>Artifact</w:t>
            </w:r>
          </w:p>
        </w:tc>
        <w:tc>
          <w:tcPr>
            <w:tcW w:type="dxa" w:w="5472"/>
            <w:shd w:val="clear" w:color="auto" w:fill="0E7C86"/>
            <w:tcMar>
              <w:top w:w="60" w:type="dxa"/>
              <w:bottom w:w="60" w:type="dxa"/>
              <w:start w:w="110" w:type="dxa"/>
              <w:end w:w="110" w:type="dxa"/>
            </w:tcMar>
            <w:vAlign w:val="center"/>
          </w:tcPr>
          <w:p>
            <w:pPr>
              <w:spacing w:after="0"/>
            </w:pPr>
            <w:r>
              <w:rPr>
                <w:rFonts w:ascii="Calibri" w:hAnsi="Calibri"/>
                <w:b/>
                <w:color w:val="FFFFFF"/>
                <w:sz w:val="19"/>
              </w:rPr>
              <w:t>What it is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model-descriptor.json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Whole-network descriptor: 8 layers, 22 neurons, frequency map, runtime classes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fallback-model.json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The trained calibrated heads + the non-linear hidden layer (featureNames, hidden, heads)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layer-0.json</w:t>
            </w:r>
            <w:r>
              <w:rPr>
                <w:rFonts w:ascii="Calibri" w:hAnsi="Calibri"/>
                <w:i w:val="0"/>
                <w:color w:val="141B2E"/>
                <w:sz w:val="19"/>
              </w:rPr>
              <w:t xml:space="preserve"> … </w:t>
            </w:r>
            <w:r>
              <w:rPr>
                <w:rFonts w:ascii="Consolas" w:hAnsi="Consolas"/>
                <w:color w:val="102A54"/>
                <w:sz w:val="18"/>
              </w:rPr>
              <w:t>layer-6-…</w:t>
            </w:r>
            <w:r>
              <w:rPr>
                <w:rFonts w:ascii="Calibri" w:hAnsi="Calibri"/>
                <w:i w:val="0"/>
                <w:color w:val="141B2E"/>
                <w:sz w:val="19"/>
              </w:rPr>
              <w:t xml:space="preserve">, </w:t>
            </w:r>
            <w:r>
              <w:rPr>
                <w:rFonts w:ascii="Consolas" w:hAnsi="Consolas"/>
                <w:color w:val="102A54"/>
                <w:sz w:val="18"/>
              </w:rPr>
              <w:t>result-layer.json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eight deployable layer files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thresholds.json</w:t>
            </w:r>
            <w:r>
              <w:rPr>
                <w:rFonts w:ascii="Calibri" w:hAnsi="Calibri"/>
                <w:i w:val="0"/>
                <w:color w:val="141B2E"/>
                <w:sz w:val="19"/>
              </w:rPr>
              <w:t xml:space="preserve"> / </w:t>
            </w:r>
            <w:r>
              <w:rPr>
                <w:rFonts w:ascii="Consolas" w:hAnsi="Consolas"/>
                <w:color w:val="102A54"/>
                <w:sz w:val="18"/>
              </w:rPr>
              <w:t>calibration.json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Cost-aware per-label thresholds and Platt calibration</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feature-schema.json</w:t>
            </w:r>
            <w:r>
              <w:rPr>
                <w:rFonts w:ascii="Calibri" w:hAnsi="Calibri"/>
                <w:i w:val="0"/>
                <w:color w:val="141B2E"/>
                <w:sz w:val="19"/>
              </w:rPr>
              <w:t xml:space="preserve"> / </w:t>
            </w:r>
            <w:r>
              <w:rPr>
                <w:rFonts w:ascii="Consolas" w:hAnsi="Consolas"/>
                <w:color w:val="102A54"/>
                <w:sz w:val="18"/>
              </w:rPr>
              <w:t>label-schema.json</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The input features and the ten labels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training-manifest.json</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Sources, example count, split policy, full metrics</w:t>
            </w:r>
          </w:p>
        </w:tc>
      </w:tr>
      <w:tr>
        <w:tc>
          <w:tcPr>
            <w:tcW w:type="dxa" w:w="4320"/>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MODEL_CARD.md</w:t>
            </w:r>
            <w:r>
              <w:rPr>
                <w:rFonts w:ascii="Calibri" w:hAnsi="Calibri"/>
                <w:i w:val="0"/>
                <w:color w:val="141B2E"/>
                <w:sz w:val="19"/>
              </w:rPr>
              <w:t xml:space="preserve"> / </w:t>
            </w:r>
            <w:r>
              <w:rPr>
                <w:rFonts w:ascii="Consolas" w:hAnsi="Consolas"/>
                <w:color w:val="102A54"/>
                <w:sz w:val="18"/>
              </w:rPr>
              <w:t>DATA_CARD.md</w:t>
            </w:r>
          </w:p>
        </w:tc>
        <w:tc>
          <w:tcPr>
            <w:tcW w:type="dxa" w:w="5472"/>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Safety cards (advisory-only; source statuses)</w:t>
            </w:r>
          </w:p>
        </w:tc>
      </w:tr>
      <w:tr>
        <w:tc>
          <w:tcPr>
            <w:tcW w:type="dxa" w:w="4320"/>
            <w:shd w:val="clear" w:color="auto" w:fill="FFFFFF"/>
            <w:tcMar>
              <w:top w:w="60" w:type="dxa"/>
              <w:bottom w:w="60" w:type="dxa"/>
              <w:start w:w="110" w:type="dxa"/>
              <w:end w:w="110" w:type="dxa"/>
            </w:tcMar>
            <w:vAlign w:val="center"/>
          </w:tcPr>
          <w:p>
            <w:pPr>
              <w:spacing w:after="0" w:line="252" w:lineRule="auto"/>
            </w:pPr>
            <w:r>
              <w:rPr>
                <w:rFonts w:ascii="Consolas" w:hAnsi="Consolas"/>
                <w:color w:val="102A54"/>
                <w:sz w:val="18"/>
              </w:rPr>
              <w:t>checksums.sha256</w:t>
            </w:r>
          </w:p>
        </w:tc>
        <w:tc>
          <w:tcPr>
            <w:tcW w:type="dxa" w:w="5472"/>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Integrity manifest the Java bundle verifies on load</w:t>
            </w:r>
          </w:p>
        </w:tc>
      </w:tr>
    </w:tbl>
    <w:p>
      <w:pPr>
        <w:spacing w:after="0" w:before="0"/>
      </w:pPr>
      <w:r>
        <w:rPr>
          <w:sz w:val="12"/>
        </w:rPr>
      </w:r>
    </w:p>
    <w:p>
      <w:pPr>
        <w:spacing w:after="120"/>
      </w:pPr>
      <w:r>
        <w:rPr>
          <w:rFonts w:ascii="Consolas" w:hAnsi="Consolas"/>
          <w:color w:val="102A54"/>
          <w:sz w:val="20"/>
        </w:rPr>
        <w:t>model-descriptor.json</w:t>
      </w:r>
      <w:r>
        <w:rPr>
          <w:rFonts w:ascii="Calibri" w:hAnsi="Calibri"/>
          <w:i w:val="0"/>
          <w:color w:val="141B2E"/>
          <w:sz w:val="21"/>
        </w:rPr>
        <w:t xml:space="preserve"> records the </w:t>
      </w:r>
      <w:r>
        <w:rPr>
          <w:rFonts w:ascii="Calibri" w:hAnsi="Calibri"/>
          <w:b/>
          <w:i w:val="0"/>
          <w:color w:val="141B2E"/>
          <w:sz w:val="21"/>
        </w:rPr>
        <w:t>8-layer, 22-neuron</w:t>
      </w:r>
      <w:r>
        <w:rPr>
          <w:rFonts w:ascii="Calibri" w:hAnsi="Calibri"/>
          <w:i w:val="0"/>
          <w:color w:val="141B2E"/>
          <w:sz w:val="21"/>
        </w:rPr>
        <w:t xml:space="preserve"> network — input, event-integrity, entity/graph/quality, behavioural-evidence, feature-interaction (the non-linear hidden layer), trained correlation, advisory response gate, and result — every neuron referencing a concrete class from the worker's ad-fraud package.</w:t>
      </w:r>
    </w:p>
    <w:tbl>
      <w:tblPr>
        <w:tblW w:type="auto" w:w="0"/>
        <w:jc w:val="center"/>
        <w:tblLook w:firstColumn="1" w:firstRow="1" w:lastColumn="0" w:lastRow="0" w:noHBand="0" w:noVBand="1" w:val="04A0"/>
        <w:tblBorders>
          <w:top w:val="single" w:sz="4" w:space="0" w:color="E8F3EC"/>
          <w:left w:val="single" w:sz="4" w:space="0" w:color="E8F3EC"/>
          <w:bottom w:val="single" w:sz="4" w:space="0" w:color="E8F3EC"/>
          <w:right w:val="single" w:sz="4" w:space="0" w:color="E8F3EC"/>
          <w:insideH w:val="single" w:sz="4" w:space="0" w:color="E8F3EC"/>
          <w:insideV w:val="single" w:sz="4" w:space="0" w:color="E8F3EC"/>
        </w:tblBorders>
      </w:tblPr>
      <w:tblGrid>
        <w:gridCol w:w="9173"/>
      </w:tblGrid>
      <w:tr>
        <w:tc>
          <w:tcPr>
            <w:tcW w:type="dxa" w:w="9173"/>
            <w:shd w:val="clear" w:color="auto" w:fill="E8F3EC"/>
            <w:tcMar>
              <w:top w:w="120" w:type="dxa"/>
              <w:bottom w:w="120" w:type="dxa"/>
              <w:start w:w="160" w:type="dxa"/>
              <w:end w:w="160" w:type="dxa"/>
            </w:tcMar>
            <w:tcBorders>
              <w:left w:val="single" w:sz="24" w:space="0" w:color="1F7A3D"/>
            </w:tcBorders>
          </w:tcPr>
          <w:p>
            <w:pPr>
              <w:spacing w:after="60"/>
            </w:pPr>
            <w:r>
              <w:rPr>
                <w:rFonts w:ascii="Calibri" w:hAnsi="Calibri"/>
                <w:b/>
                <w:color w:val="1F7A3D"/>
                <w:sz w:val="21"/>
              </w:rPr>
              <w:t>Why this matters</w:t>
            </w:r>
          </w:p>
          <w:p>
            <w:pPr>
              <w:spacing w:after="0"/>
            </w:pPr>
            <w:r>
              <w:rPr>
                <w:rFonts w:ascii="Calibri" w:hAnsi="Calibri"/>
                <w:i w:val="0"/>
                <w:color w:val="141B2E"/>
                <w:sz w:val="20"/>
              </w:rPr>
              <w:t>Because training emits real, inspectable, deployable configuration with the calibrated heads and thresholds inside, there is no translation step between "the model we trained" and "the network we run." The Deployment Guide simply points the runtime at this directory.</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10  </w:t>
      </w:r>
      <w:r>
        <w:rPr>
          <w:rFonts w:ascii="Calibri" w:hAnsi="Calibri"/>
          <w:b/>
          <w:color w:val="102A54"/>
          <w:sz w:val="34"/>
        </w:rPr>
        <w:t>Step 7 — Verify the run against the gates</w:t>
      </w:r>
    </w:p>
    <w:p>
      <w:pPr>
        <w:spacing w:after="60" w:line="269" w:lineRule="auto"/>
        <w:ind w:left="720" w:hanging="317"/>
      </w:pPr>
      <w:r>
        <w:rPr>
          <w:rFonts w:ascii="Calibri" w:hAnsi="Calibri"/>
          <w:b/>
          <w:color w:val="0E7C86"/>
          <w:sz w:val="21"/>
        </w:rPr>
        <w:t xml:space="preserve">1.  </w:t>
      </w:r>
      <w:r>
        <w:rPr>
          <w:rFonts w:ascii="Calibri" w:hAnsi="Calibri"/>
          <w:i w:val="0"/>
          <w:color w:val="141B2E"/>
          <w:sz w:val="21"/>
        </w:rPr>
        <w:t>The leakage audit passed (no identifier crosses split boundaries).</w:t>
      </w:r>
    </w:p>
    <w:p>
      <w:pPr>
        <w:spacing w:after="60" w:line="269" w:lineRule="auto"/>
        <w:ind w:left="720" w:hanging="317"/>
      </w:pPr>
      <w:r>
        <w:rPr>
          <w:rFonts w:ascii="Calibri" w:hAnsi="Calibri"/>
          <w:b/>
          <w:color w:val="0E7C86"/>
          <w:sz w:val="21"/>
        </w:rPr>
        <w:t xml:space="preserve">2.  </w:t>
      </w:r>
      <w:r>
        <w:rPr>
          <w:rFonts w:ascii="Calibri" w:hAnsi="Calibri"/>
          <w:i w:val="0"/>
          <w:color w:val="141B2E"/>
          <w:sz w:val="21"/>
        </w:rPr>
        <w:t>Macro-F1 meets your bar (the reference run reaches ≈ 0.97; the per-label table is in the descriptor and the Test Report).</w:t>
      </w:r>
    </w:p>
    <w:p>
      <w:pPr>
        <w:spacing w:after="60" w:line="269" w:lineRule="auto"/>
        <w:ind w:left="720" w:hanging="317"/>
      </w:pPr>
      <w:r>
        <w:rPr>
          <w:rFonts w:ascii="Calibri" w:hAnsi="Calibri"/>
          <w:b/>
          <w:color w:val="0E7C86"/>
          <w:sz w:val="21"/>
        </w:rPr>
        <w:t xml:space="preserve">3.  </w:t>
      </w:r>
      <w:r>
        <w:rPr>
          <w:rFonts w:ascii="Calibri" w:hAnsi="Calibri"/>
          <w:i w:val="0"/>
          <w:color w:val="141B2E"/>
          <w:sz w:val="21"/>
        </w:rPr>
        <w:t>Calibration is real Platt scaling per label (not identity), and calibration error is within budget.</w:t>
      </w:r>
    </w:p>
    <w:p>
      <w:pPr>
        <w:spacing w:after="60" w:line="269" w:lineRule="auto"/>
        <w:ind w:left="720" w:hanging="317"/>
      </w:pPr>
      <w:r>
        <w:rPr>
          <w:rFonts w:ascii="Calibri" w:hAnsi="Calibri"/>
          <w:b/>
          <w:color w:val="0E7C86"/>
          <w:sz w:val="21"/>
        </w:rPr>
        <w:t xml:space="preserve">4.  </w:t>
      </w:r>
      <w:r>
        <w:rPr>
          <w:rFonts w:ascii="Calibri" w:hAnsi="Calibri"/>
          <w:i w:val="0"/>
          <w:color w:val="141B2E"/>
          <w:sz w:val="21"/>
        </w:rPr>
        <w:t xml:space="preserve">The eight layer files, the descriptor, and </w:t>
      </w:r>
      <w:r>
        <w:rPr>
          <w:rFonts w:ascii="Consolas" w:hAnsi="Consolas"/>
          <w:color w:val="102A54"/>
          <w:sz w:val="20"/>
        </w:rPr>
        <w:t>checksums.sha256</w:t>
      </w:r>
      <w:r>
        <w:rPr>
          <w:rFonts w:ascii="Calibri" w:hAnsi="Calibri"/>
          <w:i w:val="0"/>
          <w:color w:val="141B2E"/>
          <w:sz w:val="21"/>
        </w:rPr>
        <w:t xml:space="preserve"> were written and reference the expected runtime classes.</w:t>
      </w:r>
    </w:p>
    <w:p>
      <w:pPr>
        <w:spacing w:after="60" w:line="269" w:lineRule="auto"/>
        <w:ind w:left="720" w:hanging="317"/>
      </w:pPr>
      <w:r>
        <w:rPr>
          <w:rFonts w:ascii="Calibri" w:hAnsi="Calibri"/>
          <w:b/>
          <w:color w:val="0E7C86"/>
          <w:sz w:val="21"/>
        </w:rPr>
        <w:t xml:space="preserve">5.  </w:t>
      </w:r>
      <w:r>
        <w:rPr>
          <w:rFonts w:ascii="Calibri" w:hAnsi="Calibri"/>
          <w:i w:val="0"/>
          <w:color w:val="141B2E"/>
          <w:sz w:val="21"/>
        </w:rPr>
        <w:t>The Java tests pass (</w:t>
      </w:r>
      <w:r>
        <w:rPr>
          <w:rFonts w:ascii="Consolas" w:hAnsi="Consolas"/>
          <w:color w:val="102A54"/>
          <w:sz w:val="20"/>
        </w:rPr>
        <w:t>javaTests: passed</w:t>
      </w:r>
      <w:r>
        <w:rPr>
          <w:rFonts w:ascii="Calibri" w:hAnsi="Calibri"/>
          <w:i w:val="0"/>
          <w:color w:val="141B2E"/>
          <w:sz w:val="21"/>
        </w:rPr>
        <w:t xml:space="preserve">) and the readiness report keeps </w:t>
      </w:r>
      <w:r>
        <w:rPr>
          <w:rFonts w:ascii="Consolas" w:hAnsi="Consolas"/>
          <w:color w:val="102A54"/>
          <w:sz w:val="20"/>
        </w:rPr>
        <w:t>AUTOMATED_ACTION_READY=false</w:t>
      </w:r>
      <w:r>
        <w:rPr>
          <w:rFonts w:ascii="Calibri" w:hAnsi="Calibri"/>
          <w:i w:val="0"/>
          <w:color w:val="141B2E"/>
          <w:sz w:val="21"/>
        </w:rPr>
        <w:t>.</w:t>
      </w:r>
    </w:p>
    <w:tbl>
      <w:tblPr>
        <w:tblW w:type="auto" w:w="0"/>
        <w:jc w:val="center"/>
        <w:tblLook w:firstColumn="1" w:firstRow="1" w:lastColumn="0" w:lastRow="0" w:noHBand="0" w:noVBand="1" w:val="04A0"/>
        <w:tblBorders>
          <w:top w:val="single" w:sz="4" w:space="0" w:color="EAF1F9"/>
          <w:left w:val="single" w:sz="4" w:space="0" w:color="EAF1F9"/>
          <w:bottom w:val="single" w:sz="4" w:space="0" w:color="EAF1F9"/>
          <w:right w:val="single" w:sz="4" w:space="0" w:color="EAF1F9"/>
          <w:insideH w:val="single" w:sz="4" w:space="0" w:color="EAF1F9"/>
          <w:insideV w:val="single" w:sz="4" w:space="0" w:color="EAF1F9"/>
        </w:tblBorders>
      </w:tblPr>
      <w:tblGrid>
        <w:gridCol w:w="9173"/>
      </w:tblGrid>
      <w:tr>
        <w:tc>
          <w:tcPr>
            <w:tcW w:type="dxa" w:w="9173"/>
            <w:shd w:val="clear" w:color="auto" w:fill="EAF1F9"/>
            <w:tcMar>
              <w:top w:w="120" w:type="dxa"/>
              <w:bottom w:w="120" w:type="dxa"/>
              <w:start w:w="160" w:type="dxa"/>
              <w:end w:w="160" w:type="dxa"/>
            </w:tcMar>
            <w:tcBorders>
              <w:left w:val="single" w:sz="24" w:space="0" w:color="1C5D99"/>
            </w:tcBorders>
          </w:tcPr>
          <w:p>
            <w:pPr>
              <w:spacing w:after="60"/>
            </w:pPr>
            <w:r>
              <w:rPr>
                <w:rFonts w:ascii="Calibri" w:hAnsi="Calibri"/>
                <w:b/>
                <w:color w:val="1C5D99"/>
                <w:sz w:val="21"/>
              </w:rPr>
              <w:t>Reproducibility check</w:t>
            </w:r>
          </w:p>
          <w:p>
            <w:pPr>
              <w:spacing w:after="0"/>
            </w:pPr>
            <w:r>
              <w:rPr>
                <w:rFonts w:ascii="Calibri" w:hAnsi="Calibri"/>
                <w:i w:val="0"/>
                <w:color w:val="141B2E"/>
                <w:sz w:val="20"/>
              </w:rPr>
              <w:t>The run is deterministic for a given seed. Re-running the same command must reproduce the same macro-F1 and the same per-label metrics. A drift signals that an input, the seed, or the toolchain changed.</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11  </w:t>
      </w:r>
      <w:r>
        <w:rPr>
          <w:rFonts w:ascii="Calibri" w:hAnsi="Calibri"/>
          <w:b/>
          <w:color w:val="102A54"/>
          <w:sz w:val="34"/>
        </w:rPr>
        <w:t>Troubleshooting</w:t>
      </w:r>
    </w:p>
    <w:tbl>
      <w:tblPr>
        <w:tblW w:type="auto" w:w="0"/>
        <w:jc w:val="center"/>
        <w:tblLook w:firstColumn="1" w:firstRow="1" w:lastColumn="0" w:lastRow="0" w:noHBand="0" w:noVBand="1" w:val="04A0"/>
        <w:tblBorders>
          <w:top w:val="single" w:sz="4" w:space="0" w:color="D6DBE5"/>
          <w:left w:val="single" w:sz="4" w:space="0" w:color="D6DBE5"/>
          <w:bottom w:val="single" w:sz="4" w:space="0" w:color="D6DBE5"/>
          <w:right w:val="single" w:sz="4" w:space="0" w:color="D6DBE5"/>
          <w:insideH w:val="single" w:sz="4" w:space="0" w:color="D6DBE5"/>
          <w:insideV w:val="single" w:sz="4" w:space="0" w:color="D6DBE5"/>
        </w:tblBorders>
      </w:tblPr>
      <w:tblGrid>
        <w:gridCol w:w="4586"/>
        <w:gridCol w:w="4586"/>
      </w:tblGrid>
      <w:tr>
        <w:tc>
          <w:tcPr>
            <w:tcW w:type="dxa" w:w="4464"/>
            <w:shd w:val="clear" w:color="auto" w:fill="0E7C86"/>
            <w:tcMar>
              <w:top w:w="60" w:type="dxa"/>
              <w:bottom w:w="60" w:type="dxa"/>
              <w:start w:w="110" w:type="dxa"/>
              <w:end w:w="110" w:type="dxa"/>
            </w:tcMar>
            <w:vAlign w:val="center"/>
          </w:tcPr>
          <w:p>
            <w:pPr>
              <w:spacing w:after="0"/>
            </w:pPr>
            <w:r>
              <w:rPr>
                <w:rFonts w:ascii="Calibri" w:hAnsi="Calibri"/>
                <w:b/>
                <w:color w:val="FFFFFF"/>
                <w:sz w:val="19"/>
              </w:rPr>
              <w:t>Symptom</w:t>
            </w:r>
          </w:p>
        </w:tc>
        <w:tc>
          <w:tcPr>
            <w:tcW w:type="dxa" w:w="5328"/>
            <w:shd w:val="clear" w:color="auto" w:fill="0E7C86"/>
            <w:tcMar>
              <w:top w:w="60" w:type="dxa"/>
              <w:bottom w:w="60" w:type="dxa"/>
              <w:start w:w="110" w:type="dxa"/>
              <w:end w:w="110" w:type="dxa"/>
            </w:tcMar>
            <w:vAlign w:val="center"/>
          </w:tcPr>
          <w:p>
            <w:pPr>
              <w:spacing w:after="0"/>
            </w:pPr>
            <w:r>
              <w:rPr>
                <w:rFonts w:ascii="Calibri" w:hAnsi="Calibri"/>
                <w:b/>
                <w:color w:val="FFFFFF"/>
                <w:sz w:val="19"/>
              </w:rPr>
              <w:t>Likely cause and fix</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onsolas" w:hAnsi="Consolas"/>
                <w:color w:val="102A54"/>
                <w:sz w:val="18"/>
              </w:rPr>
              <w:t>java -version</w:t>
            </w:r>
            <w:r>
              <w:rPr>
                <w:rFonts w:ascii="Calibri" w:hAnsi="Calibri"/>
                <w:i w:val="0"/>
                <w:color w:val="141B2E"/>
                <w:sz w:val="19"/>
              </w:rPr>
              <w:t xml:space="preserve"> shows &lt; 17</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Install a JDK 17+ and set </w:t>
            </w:r>
            <w:r>
              <w:rPr>
                <w:rFonts w:ascii="Consolas" w:hAnsi="Consolas"/>
                <w:color w:val="102A54"/>
                <w:sz w:val="18"/>
              </w:rPr>
              <w:t>JAVA_HOME</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Workflow exits at the leakage audit</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An identifier crosses splits; check the split policy in your data</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Java tests fail after a change</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Structural counts changed; re-export the bundle and align the test expectations</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Sources show </w:t>
            </w:r>
            <w:r>
              <w:rPr>
                <w:rFonts w:ascii="Consolas" w:hAnsi="Consolas"/>
                <w:color w:val="102A54"/>
                <w:sz w:val="18"/>
              </w:rPr>
              <w:t>dataset_unavailable</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Expected offline; the deterministic simulator still provides coverage</w:t>
            </w:r>
          </w:p>
        </w:tc>
      </w:tr>
      <w:tr>
        <w:tc>
          <w:tcPr>
            <w:tcW w:type="dxa" w:w="4464"/>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Macro-F1 lower than expected on your data</w:t>
            </w:r>
          </w:p>
        </w:tc>
        <w:tc>
          <w:tcPr>
            <w:tcW w:type="dxa" w:w="5328"/>
            <w:shd w:val="clear" w:color="auto" w:fill="F4F7FB"/>
            <w:tcMar>
              <w:top w:w="60" w:type="dxa"/>
              <w:bottom w:w="60" w:type="dxa"/>
              <w:start w:w="110" w:type="dxa"/>
              <w:end w:w="110" w:type="dxa"/>
            </w:tcMar>
            <w:vAlign w:val="center"/>
          </w:tcPr>
          <w:p>
            <w:pPr>
              <w:spacing w:after="0" w:line="252" w:lineRule="auto"/>
            </w:pPr>
            <w:r>
              <w:rPr>
                <w:rFonts w:ascii="Calibri" w:hAnsi="Calibri"/>
                <w:i w:val="0"/>
                <w:color w:val="141B2E"/>
                <w:sz w:val="19"/>
              </w:rPr>
              <w:t>Add first-party labels and more per-scenario variety; check calibration</w:t>
            </w:r>
          </w:p>
        </w:tc>
      </w:tr>
      <w:tr>
        <w:tc>
          <w:tcPr>
            <w:tcW w:type="dxa" w:w="4464"/>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Bundle checksum mismatch in Java</w:t>
            </w:r>
          </w:p>
        </w:tc>
        <w:tc>
          <w:tcPr>
            <w:tcW w:type="dxa" w:w="5328"/>
            <w:shd w:val="clear" w:color="auto" w:fill="FFFFFF"/>
            <w:tcMar>
              <w:top w:w="60" w:type="dxa"/>
              <w:bottom w:w="60" w:type="dxa"/>
              <w:start w:w="110" w:type="dxa"/>
              <w:end w:w="110" w:type="dxa"/>
            </w:tcMar>
            <w:vAlign w:val="center"/>
          </w:tcPr>
          <w:p>
            <w:pPr>
              <w:spacing w:after="0" w:line="252" w:lineRule="auto"/>
            </w:pPr>
            <w:r>
              <w:rPr>
                <w:rFonts w:ascii="Calibri" w:hAnsi="Calibri"/>
                <w:i w:val="0"/>
                <w:color w:val="141B2E"/>
                <w:sz w:val="19"/>
              </w:rPr>
              <w:t xml:space="preserve">Re-run the workflow so </w:t>
            </w:r>
            <w:r>
              <w:rPr>
                <w:rFonts w:ascii="Consolas" w:hAnsi="Consolas"/>
                <w:color w:val="102A54"/>
                <w:sz w:val="18"/>
              </w:rPr>
              <w:t>checksums.sha256</w:t>
            </w:r>
            <w:r>
              <w:rPr>
                <w:rFonts w:ascii="Calibri" w:hAnsi="Calibri"/>
                <w:i w:val="0"/>
                <w:color w:val="141B2E"/>
                <w:sz w:val="19"/>
              </w:rPr>
              <w:t xml:space="preserve"> matches the exported files</w:t>
            </w:r>
          </w:p>
        </w:tc>
      </w:tr>
    </w:tbl>
    <w:p>
      <w:pPr>
        <w:spacing w:after="0" w:before="0"/>
      </w:pPr>
      <w:r>
        <w:rPr>
          <w:sz w:val="12"/>
        </w:rPr>
      </w:r>
    </w:p>
    <w:p>
      <w:pPr>
        <w:keepNext/>
        <w:spacing w:before="320" w:after="40"/>
        <w:pBdr>
          <w:bottom w:val="single" w:sz="10" w:space="4" w:color="0E7C86"/>
        </w:pBdr>
      </w:pPr>
      <w:r>
        <w:rPr>
          <w:rFonts w:ascii="Calibri" w:hAnsi="Calibri"/>
          <w:b/>
          <w:color w:val="0E7C86"/>
          <w:sz w:val="34"/>
        </w:rPr>
        <w:t xml:space="preserve">12  </w:t>
      </w:r>
      <w:r>
        <w:rPr>
          <w:rFonts w:ascii="Calibri" w:hAnsi="Calibri"/>
          <w:b/>
          <w:color w:val="102A54"/>
          <w:sz w:val="34"/>
        </w:rPr>
        <w:t>Appendix — training cheat-sheet</w:t>
      </w:r>
    </w:p>
    <w:p>
      <w:pPr>
        <w:keepNext/>
        <w:spacing w:before="180" w:after="20"/>
      </w:pPr>
      <w:r>
        <w:rPr>
          <w:rFonts w:ascii="Calibri" w:hAnsi="Calibri"/>
          <w:b/>
          <w:color w:val="0E7C86"/>
          <w:sz w:val="22"/>
        </w:rPr>
        <w:t>Build</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git clone https://github.com/rakovpublic/jneopallium.git &amp;&amp; cd jneopallium &amp;&amp; mvn clean install</w:t>
            </w:r>
          </w:p>
        </w:tc>
      </w:tr>
    </w:tbl>
    <w:p>
      <w:pPr>
        <w:spacing w:after="0" w:before="0"/>
      </w:pPr>
      <w:r>
        <w:rPr>
          <w:sz w:val="8"/>
        </w:rPr>
      </w:r>
    </w:p>
    <w:p>
      <w:pPr>
        <w:keepNext/>
        <w:spacing w:before="180" w:after="20"/>
      </w:pPr>
      <w:r>
        <w:rPr>
          <w:rFonts w:ascii="Calibri" w:hAnsi="Calibri"/>
          <w:b/>
          <w:color w:val="0E7C86"/>
          <w:sz w:val="22"/>
        </w:rPr>
        <w:t>Run the workflow</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173"/>
      </w:tblGrid>
      <w:tr>
        <w:tc>
          <w:tcPr>
            <w:tcW w:type="dxa" w:w="9173"/>
            <w:shd w:val="clear" w:color="auto" w:fill="0E1A2B"/>
            <w:tcMar>
              <w:top w:w="90" w:type="dxa"/>
              <w:bottom w:w="90" w:type="dxa"/>
              <w:start w:w="140" w:type="dxa"/>
              <w:end w:w="140" w:type="dxa"/>
            </w:tcMar>
          </w:tcPr>
          <w:p>
            <w:pPr>
              <w:spacing w:after="0" w:line="254" w:lineRule="auto"/>
            </w:pPr>
            <w:r>
              <w:rPr>
                <w:rFonts w:ascii="Consolas" w:hAnsi="Consolas"/>
                <w:color w:val="D6E7C8"/>
                <w:sz w:val="18"/>
              </w:rPr>
              <w:t># full deterministic run (offline)</w:t>
            </w:r>
          </w:p>
          <w:p>
            <w:pPr>
              <w:spacing w:after="0" w:line="254" w:lineRule="auto"/>
            </w:pPr>
            <w:r>
              <w:rPr>
                <w:rFonts w:ascii="Consolas" w:hAnsi="Consolas"/>
                <w:color w:val="D6E7C8"/>
                <w:sz w:val="18"/>
              </w:rPr>
              <w:t>python scripts/demo-ad-fraud/run_all.py --offline</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quick iteration, skip Java tests</w:t>
            </w:r>
          </w:p>
          <w:p>
            <w:pPr>
              <w:spacing w:after="0" w:line="254" w:lineRule="auto"/>
            </w:pPr>
            <w:r>
              <w:rPr>
                <w:rFonts w:ascii="Consolas" w:hAnsi="Consolas"/>
                <w:color w:val="D6E7C8"/>
                <w:sz w:val="18"/>
              </w:rPr>
              <w:t>python scripts/demo-ad-fraud/run_all.py --quick --offline --skip-java</w:t>
            </w:r>
          </w:p>
          <w:p>
            <w:pPr>
              <w:spacing w:after="0" w:line="254" w:lineRule="auto"/>
            </w:pPr>
            <w:r>
              <w:rPr>
                <w:rFonts w:ascii="Consolas" w:hAnsi="Consolas"/>
                <w:color w:val="D6E7C8"/>
                <w:sz w:val="18"/>
              </w:rPr>
              <w:t xml:space="preserve"> </w:t>
            </w:r>
          </w:p>
          <w:p>
            <w:pPr>
              <w:spacing w:after="0" w:line="254" w:lineRule="auto"/>
            </w:pPr>
            <w:r>
              <w:rPr>
                <w:rFonts w:ascii="Consolas" w:hAnsi="Consolas"/>
                <w:color w:val="D6E7C8"/>
                <w:sz w:val="18"/>
              </w:rPr>
              <w:t># Linux/macOS and Windows wrappers</w:t>
            </w:r>
          </w:p>
          <w:p>
            <w:pPr>
              <w:spacing w:after="0" w:line="254" w:lineRule="auto"/>
            </w:pPr>
            <w:r>
              <w:rPr>
                <w:rFonts w:ascii="Consolas" w:hAnsi="Consolas"/>
                <w:color w:val="D6E7C8"/>
                <w:sz w:val="18"/>
              </w:rPr>
              <w:t>scripts/demo-ad-fraud/run_all.sh</w:t>
            </w:r>
          </w:p>
          <w:p>
            <w:pPr>
              <w:spacing w:after="0" w:line="254" w:lineRule="auto"/>
            </w:pPr>
            <w:r>
              <w:rPr>
                <w:rFonts w:ascii="Consolas" w:hAnsi="Consolas"/>
                <w:color w:val="D6E7C8"/>
                <w:sz w:val="18"/>
              </w:rPr>
              <w:t>powershell -File scripts/demo-ad-fraud/run_all.ps1</w:t>
            </w:r>
          </w:p>
        </w:tc>
      </w:tr>
    </w:tbl>
    <w:p>
      <w:pPr>
        <w:spacing w:after="0" w:before="0"/>
      </w:pPr>
      <w:r>
        <w:rPr>
          <w:sz w:val="8"/>
        </w:rPr>
      </w:r>
    </w:p>
    <w:p>
      <w:pPr>
        <w:spacing w:after="0" w:before="0"/>
      </w:pPr>
      <w:r>
        <w:rPr>
          <w:sz w:val="16"/>
        </w:rPr>
      </w:r>
    </w:p>
    <w:p>
      <w:pPr>
        <w:spacing w:after="120"/>
      </w:pPr>
      <w:r>
        <w:rPr>
          <w:rFonts w:ascii="Calibri" w:hAnsi="Calibri"/>
          <w:i/>
          <w:color w:val="0E7C86"/>
          <w:sz w:val="21"/>
        </w:rPr>
        <w:t>Jneopallium Ad-Fraud Guardian · Training Guide. The trainer emits a deployable JNeopallium network; see the Deployment Guide to run it. Safety mode: ADVISORY / SHADOW. License: BSD 3-Clause.</w:t>
      </w:r>
    </w:p>
    <w:sectPr w:rsidR="00FC693F" w:rsidRPr="0006063C" w:rsidSect="00034616">
      <w:footerReference w:type="default" r:id="rId9"/>
      <w:pgSz w:w="11909" w:h="16834"/>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8A93A6"/>
        <w:sz w:val="16"/>
      </w:rPr>
      <w:t>Jneopallium · Ad-Fraud Guardian · Multi-label invalid-traffic advisory · ADVISORY</w:t>
    </w:r>
    <w:r>
      <w:rPr>
        <w:sz w:val="16"/>
      </w:rPr>
      <w:t xml:space="preserve">    </w:t>
    </w:r>
    <w:r>
      <w:rPr>
        <w:color w:val="8A93A6"/>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41B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