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102A54"/>
            <w:tcMar>
              <w:top w:w="260" w:type="dxa"/>
              <w:bottom w:w="260" w:type="dxa"/>
              <w:start w:w="240" w:type="dxa"/>
              <w:end w:w="2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8FC2F0"/>
                <w:sz w:val="22"/>
              </w:rPr>
              <w:t>JNEOPALLIUM · AD-FRAUD GUARDIAN</w:t>
            </w:r>
          </w:p>
          <w:p>
            <w:pPr>
              <w:spacing w:after="40"/>
            </w:pPr>
            <w:r>
              <w:rPr>
                <w:rFonts w:ascii="Calibri" w:hAnsi="Calibri"/>
                <w:color w:val="B9C6DA"/>
                <w:sz w:val="18"/>
              </w:rPr>
              <w:t>ПОСІБНИК З НАВЧАННЯ</w:t>
            </w:r>
          </w:p>
        </w:tc>
      </w:tr>
    </w:tbl>
    <w:p>
      <w:pPr>
        <w:spacing w:after="0" w:before="0"/>
      </w:pPr>
      <w:r>
        <w:rPr>
          <w:sz w:val="40"/>
        </w:rPr>
      </w:r>
    </w:p>
    <w:p>
      <w:pPr>
        <w:spacing w:after="80"/>
      </w:pPr>
      <w:r>
        <w:rPr>
          <w:rFonts w:ascii="Calibri" w:hAnsi="Calibri"/>
          <w:b/>
          <w:color w:val="102A54"/>
          <w:sz w:val="60"/>
        </w:rPr>
        <w:t>Посібник з навчання</w:t>
      </w:r>
    </w:p>
    <w:p>
      <w:pPr>
        <w:spacing w:after="200"/>
      </w:pPr>
      <w:r>
        <w:rPr>
          <w:rFonts w:ascii="Calibri" w:hAnsi="Calibri"/>
          <w:color w:val="1C5D99"/>
          <w:sz w:val="28"/>
        </w:rPr>
        <w:t>Зберіть, запустіть детермінований процес, навчіть і отримайте готову мережу виявлення невалідного трафіку</w:t>
      </w:r>
    </w:p>
    <w:p>
      <w:pPr>
        <w:pBdr>
          <w:bottom w:val="single" w:sz="10" w:space="4" w:color="0E7C86"/>
        </w:pBdr>
      </w:pPr>
    </w:p>
    <w:p>
      <w:pPr>
        <w:spacing w:after="0" w:before="0"/>
      </w:pPr>
      <w:r>
        <w:rPr>
          <w:sz w:val="16"/>
        </w:rPr>
      </w:r>
    </w:p>
    <w:p>
      <w:pPr>
        <w:spacing w:after="120"/>
      </w:pPr>
      <w:r>
        <w:rPr>
          <w:rFonts w:ascii="Calibri" w:hAnsi="Calibri"/>
          <w:i/>
          <w:color w:val="555F70"/>
          <w:sz w:val="23"/>
        </w:rPr>
        <w:t>Повний покроковий маршрут для копіювання навчальної половини конвеєра: встановіть інструментарій, зберіть платформу, запустіть детермінований процес ad-fraud, додайте власні дані й отримайте готову до розгортання багатоміткову мережу, яку споживає Посібник з розгортання.</w:t>
      </w:r>
    </w:p>
    <w:p>
      <w:pPr>
        <w:spacing w:after="0" w:before="0"/>
      </w:pPr>
      <w:r>
        <w:rPr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86"/>
        <w:gridCol w:w="4586"/>
      </w:tblGrid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Документ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Посібник з навчання моделі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Продукт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Jneopallium Ad-Fraud Guardian (модуль advertising-fraud)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Модель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advertising-fraud 1.0.0 · macro-F1 ≈ 0.97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Тренер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scripts/demo-ad-fraud/run_all.py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Вихід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Готова до розгортання конфігурація JNeopallium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Автор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Дмитро Раковський — Харків, Україна</w:t>
            </w:r>
          </w:p>
        </w:tc>
      </w:tr>
      <w:tr>
        <w:tc>
          <w:tcPr>
            <w:tcW w:type="dxa" w:w="4586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Дата</w:t>
            </w:r>
          </w:p>
        </w:tc>
        <w:tc>
          <w:tcPr>
            <w:tcW w:type="dxa" w:w="4586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23 червня 2026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555F70"/>
                <w:sz w:val="19"/>
              </w:rPr>
              <w:t>Ліцензія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41B2E"/>
                <w:sz w:val="19"/>
              </w:rPr>
              <w:t>BSD 3-Clause</w:t>
            </w:r>
          </w:p>
        </w:tc>
      </w:tr>
    </w:tbl>
    <w:p>
      <w:r>
        <w:br w:type="page"/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102A54"/>
          <w:sz w:val="34"/>
        </w:rPr>
        <w:t>Зміст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1.  </w:t>
      </w:r>
      <w:r>
        <w:rPr>
          <w:rFonts w:ascii="Calibri" w:hAnsi="Calibri"/>
          <w:color w:val="141B2E"/>
          <w:sz w:val="21"/>
        </w:rPr>
        <w:t>Чого ви досягнете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2.  </w:t>
      </w:r>
      <w:r>
        <w:rPr>
          <w:rFonts w:ascii="Calibri" w:hAnsi="Calibri"/>
          <w:color w:val="141B2E"/>
          <w:sz w:val="21"/>
        </w:rPr>
        <w:t>Де закінчується навчання і починається розгортання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3.  </w:t>
      </w:r>
      <w:r>
        <w:rPr>
          <w:rFonts w:ascii="Calibri" w:hAnsi="Calibri"/>
          <w:color w:val="141B2E"/>
          <w:sz w:val="21"/>
        </w:rPr>
        <w:t>Передумови та системні вимоги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4.  </w:t>
      </w:r>
      <w:r>
        <w:rPr>
          <w:rFonts w:ascii="Calibri" w:hAnsi="Calibri"/>
          <w:color w:val="141B2E"/>
          <w:sz w:val="21"/>
        </w:rPr>
        <w:t>Крок 1 — Отримати код і зібрати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5.  </w:t>
      </w:r>
      <w:r>
        <w:rPr>
          <w:rFonts w:ascii="Calibri" w:hAnsi="Calibri"/>
          <w:color w:val="141B2E"/>
          <w:sz w:val="21"/>
        </w:rPr>
        <w:t>Крок 2 — Запустити детермінований процес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6.  </w:t>
      </w:r>
      <w:r>
        <w:rPr>
          <w:rFonts w:ascii="Calibri" w:hAnsi="Calibri"/>
          <w:color w:val="141B2E"/>
          <w:sz w:val="21"/>
        </w:rPr>
        <w:t>Крок 3 — Зрозуміти згенеровані результати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7.  </w:t>
      </w:r>
      <w:r>
        <w:rPr>
          <w:rFonts w:ascii="Calibri" w:hAnsi="Calibri"/>
          <w:color w:val="141B2E"/>
          <w:sz w:val="21"/>
        </w:rPr>
        <w:t>Крок 4 — Етапи процесу, пояснені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8.  </w:t>
      </w:r>
      <w:r>
        <w:rPr>
          <w:rFonts w:ascii="Calibri" w:hAnsi="Calibri"/>
          <w:color w:val="141B2E"/>
          <w:sz w:val="21"/>
        </w:rPr>
        <w:t>Крок 5 — Додати власні дані (канонічна подія)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 9.  </w:t>
      </w:r>
      <w:r>
        <w:rPr>
          <w:rFonts w:ascii="Calibri" w:hAnsi="Calibri"/>
          <w:color w:val="141B2E"/>
          <w:sz w:val="21"/>
        </w:rPr>
        <w:t>Крок 6 — Згенеровані артефакти: готова до розгортання мережа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10.  </w:t>
      </w:r>
      <w:r>
        <w:rPr>
          <w:rFonts w:ascii="Calibri" w:hAnsi="Calibri"/>
          <w:color w:val="141B2E"/>
          <w:sz w:val="21"/>
        </w:rPr>
        <w:t>Крок 7 — Перевірити запуск за критеріями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11.  </w:t>
      </w:r>
      <w:r>
        <w:rPr>
          <w:rFonts w:ascii="Calibri" w:hAnsi="Calibri"/>
          <w:color w:val="141B2E"/>
          <w:sz w:val="21"/>
        </w:rPr>
        <w:t>Усунення несправностей</w:t>
      </w:r>
    </w:p>
    <w:p>
      <w:pPr>
        <w:spacing w:after="80"/>
        <w:ind w:left="144"/>
      </w:pPr>
      <w:r>
        <w:rPr>
          <w:rFonts w:ascii="Calibri" w:hAnsi="Calibri"/>
          <w:b/>
          <w:color w:val="0E7C86"/>
          <w:sz w:val="21"/>
        </w:rPr>
        <w:t xml:space="preserve">12.  </w:t>
      </w:r>
      <w:r>
        <w:rPr>
          <w:rFonts w:ascii="Calibri" w:hAnsi="Calibri"/>
          <w:color w:val="141B2E"/>
          <w:sz w:val="21"/>
        </w:rPr>
        <w:t>Додаток — шпаргалка навчання</w:t>
      </w:r>
    </w:p>
    <w:p>
      <w:r>
        <w:br w:type="page"/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  </w:t>
      </w:r>
      <w:r>
        <w:rPr>
          <w:rFonts w:ascii="Calibri" w:hAnsi="Calibri"/>
          <w:b/>
          <w:color w:val="102A54"/>
          <w:sz w:val="34"/>
        </w:rPr>
        <w:t>Чого ви досягнете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До кінця цього посібника ви матимете: зібрану платформу Jneopallium; повністю відтворюваний запуск процесу ad-fraud; свіжонавчену каліброву </w:t>
      </w:r>
      <w:r>
        <w:rPr>
          <w:rFonts w:ascii="Calibri" w:hAnsi="Calibri"/>
          <w:b/>
          <w:i w:val="0"/>
          <w:color w:val="141B2E"/>
          <w:sz w:val="21"/>
        </w:rPr>
        <w:t>багатоміткову модель невалідного трафіку</w:t>
      </w:r>
      <w:r>
        <w:rPr>
          <w:rFonts w:ascii="Calibri" w:hAnsi="Calibri"/>
          <w:i w:val="0"/>
          <w:color w:val="141B2E"/>
          <w:sz w:val="21"/>
        </w:rPr>
        <w:t xml:space="preserve">; і — ключовий результат — </w:t>
      </w:r>
      <w:r>
        <w:rPr>
          <w:rFonts w:ascii="Calibri" w:hAnsi="Calibri"/>
          <w:b/>
          <w:i w:val="0"/>
          <w:color w:val="141B2E"/>
          <w:sz w:val="21"/>
        </w:rPr>
        <w:t>повну, готову до розгортання мережу JNeopallium</w:t>
      </w:r>
      <w:r>
        <w:rPr>
          <w:rFonts w:ascii="Calibri" w:hAnsi="Calibri"/>
          <w:i w:val="0"/>
          <w:color w:val="141B2E"/>
          <w:sz w:val="21"/>
        </w:rPr>
        <w:t xml:space="preserve"> (вісім файлів рівнів, справжні класи часу виконання, вбудовані каліброві голови й рекомендаційний запобіжник відповіді), яку напряму завантажує супровідний </w:t>
      </w:r>
      <w:r>
        <w:rPr>
          <w:rFonts w:ascii="Calibri" w:hAnsi="Calibri"/>
          <w:b/>
          <w:i w:val="0"/>
          <w:color w:val="141B2E"/>
          <w:sz w:val="21"/>
        </w:rPr>
        <w:t>Посібник з розгортання</w:t>
      </w:r>
      <w:r>
        <w:rPr>
          <w:rFonts w:ascii="Calibri" w:hAnsi="Calibri"/>
          <w:i w:val="0"/>
          <w:color w:val="141B2E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BF1E0"/>
          <w:left w:val="single" w:sz="4" w:space="0" w:color="FBF1E0"/>
          <w:bottom w:val="single" w:sz="4" w:space="0" w:color="FBF1E0"/>
          <w:right w:val="single" w:sz="4" w:space="0" w:color="FBF1E0"/>
          <w:insideH w:val="single" w:sz="4" w:space="0" w:color="FBF1E0"/>
          <w:insideV w:val="single" w:sz="4" w:space="0" w:color="FBF1E0"/>
        </w:tblBorders>
      </w:tblPr>
      <w:tblGrid>
        <w:gridCol w:w="9173"/>
      </w:tblGrid>
      <w:tr>
        <w:tc>
          <w:tcPr>
            <w:tcW w:type="dxa" w:w="9173"/>
            <w:shd w:val="clear" w:color="auto" w:fill="FBF1E0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C88A1A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C88A1A"/>
                <w:sz w:val="21"/>
              </w:rPr>
              <w:t>Стеля безпеки для всього конвеєра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Усе, що робить навчена модель, є рекомендаційним. Вона видає кандидатні дії й докази; вона ніколи не блокує паблішера, не утримує виплату й не звинувачує людину. Звіт готовності тримає AUTOMATED_ACTION_READY хибним, доки не зафіксовано власний розмічений промисловий трафік, юридичний перегляд і процес апеляції/відкату.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2  </w:t>
      </w:r>
      <w:r>
        <w:rPr>
          <w:rFonts w:ascii="Calibri" w:hAnsi="Calibri"/>
          <w:b/>
          <w:color w:val="102A54"/>
          <w:sz w:val="34"/>
        </w:rPr>
        <w:t>Де закінчується навчання і починається розгортання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3058"/>
        <w:gridCol w:w="3058"/>
        <w:gridCol w:w="3058"/>
      </w:tblGrid>
      <w:tr>
        <w:tc>
          <w:tcPr>
            <w:tcW w:type="dxa" w:w="2880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Фаза</w:t>
            </w:r>
          </w:p>
        </w:tc>
        <w:tc>
          <w:tcPr>
            <w:tcW w:type="dxa" w:w="4608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Що відбувається</w:t>
            </w:r>
          </w:p>
        </w:tc>
        <w:tc>
          <w:tcPr>
            <w:tcW w:type="dxa" w:w="2304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Документ</w:t>
            </w:r>
          </w:p>
        </w:tc>
      </w:tr>
      <w:tr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E"/>
                <w:sz w:val="19"/>
              </w:rPr>
              <w:t>Навчання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(цей посібник)</w:t>
            </w:r>
          </w:p>
        </w:tc>
        <w:tc>
          <w:tcPr>
            <w:tcW w:type="dxa" w:w="460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Зборка, запуск процесу, навчання й калібрування, </w:t>
            </w:r>
            <w:r>
              <w:rPr>
                <w:rFonts w:ascii="Calibri" w:hAnsi="Calibri"/>
                <w:b/>
                <w:i w:val="0"/>
                <w:color w:val="141B2E"/>
                <w:sz w:val="19"/>
              </w:rPr>
              <w:t>видача мережі</w:t>
            </w:r>
          </w:p>
        </w:tc>
        <w:tc>
          <w:tcPr>
            <w:tcW w:type="dxa" w:w="230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Посібник з навчання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E"/>
                <w:sz w:val="19"/>
              </w:rPr>
              <w:t>Розгортання</w:t>
            </w:r>
          </w:p>
        </w:tc>
        <w:tc>
          <w:tcPr>
            <w:tcW w:type="dxa" w:w="460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Завантаження виданої мережі, налаштування джерел подій, запуск скорера</w:t>
            </w:r>
          </w:p>
        </w:tc>
        <w:tc>
          <w:tcPr>
            <w:tcW w:type="dxa" w:w="230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Посібник з розгортання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Передача — це єдина тека згенерованих артефактів (Крок 6). Навчання її </w:t>
      </w:r>
      <w:r>
        <w:rPr>
          <w:rFonts w:ascii="Calibri" w:hAnsi="Calibri"/>
          <w:b/>
          <w:i w:val="0"/>
          <w:color w:val="141B2E"/>
          <w:sz w:val="21"/>
        </w:rPr>
        <w:t>створює</w:t>
      </w:r>
      <w:r>
        <w:rPr>
          <w:rFonts w:ascii="Calibri" w:hAnsi="Calibri"/>
          <w:i w:val="0"/>
          <w:color w:val="141B2E"/>
          <w:sz w:val="21"/>
        </w:rPr>
        <w:t xml:space="preserve">; розгортання її </w:t>
      </w:r>
      <w:r>
        <w:rPr>
          <w:rFonts w:ascii="Calibri" w:hAnsi="Calibri"/>
          <w:b/>
          <w:i w:val="0"/>
          <w:color w:val="141B2E"/>
          <w:sz w:val="21"/>
        </w:rPr>
        <w:t>споживає</w:t>
      </w:r>
      <w:r>
        <w:rPr>
          <w:rFonts w:ascii="Calibri" w:hAnsi="Calibri"/>
          <w:i w:val="0"/>
          <w:color w:val="141B2E"/>
          <w:sz w:val="21"/>
        </w:rPr>
        <w:t>. Тренер записує готову для JNeopallium конфігурацію рівнів і нейронів із навченими головами, калібруванням і порогами всередині, тож файли, що фіксують ваш запуск, є файлами, з яких завантажується середовище виконання.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3  </w:t>
      </w:r>
      <w:r>
        <w:rPr>
          <w:rFonts w:ascii="Calibri" w:hAnsi="Calibri"/>
          <w:b/>
          <w:color w:val="102A54"/>
          <w:sz w:val="34"/>
        </w:rPr>
        <w:t>Передумови та системні вимоги</w:t>
      </w:r>
    </w:p>
    <w:p>
      <w:pPr>
        <w:keepNext/>
        <w:spacing w:before="240" w:after="40"/>
      </w:pPr>
      <w:r>
        <w:rPr>
          <w:rFonts w:ascii="Calibri" w:hAnsi="Calibri"/>
          <w:b/>
          <w:color w:val="1C5D99"/>
          <w:sz w:val="26"/>
        </w:rPr>
        <w:t>Інструментарій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3058"/>
        <w:gridCol w:w="3058"/>
        <w:gridCol w:w="3058"/>
      </w:tblGrid>
      <w:tr>
        <w:tc>
          <w:tcPr>
            <w:tcW w:type="dxa" w:w="2592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Інструмент</w:t>
            </w:r>
          </w:p>
        </w:tc>
        <w:tc>
          <w:tcPr>
            <w:tcW w:type="dxa" w:w="2880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Версія</w:t>
            </w:r>
          </w:p>
        </w:tc>
        <w:tc>
          <w:tcPr>
            <w:tcW w:type="dxa" w:w="4320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Навіщо</w:t>
            </w:r>
          </w:p>
        </w:tc>
      </w:tr>
      <w:tr>
        <w:tc>
          <w:tcPr>
            <w:tcW w:type="dxa" w:w="259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Java JDK</w:t>
            </w:r>
          </w:p>
        </w:tc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17 або новіша (LTS)</w:t>
            </w:r>
          </w:p>
        </w:tc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Зборка й запуск worker / скорера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Apache Maven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3.9 або новіша</w:t>
            </w:r>
          </w:p>
        </w:tc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Багатомодульна збірка master + worker</w:t>
            </w:r>
          </w:p>
        </w:tc>
      </w:tr>
      <w:tr>
        <w:tc>
          <w:tcPr>
            <w:tcW w:type="dxa" w:w="259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Python</w:t>
            </w:r>
          </w:p>
        </w:tc>
        <w:tc>
          <w:tcPr>
            <w:tcW w:type="dxa" w:w="288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3.10+ (тестовано 3.13)</w:t>
            </w:r>
          </w:p>
        </w:tc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Запускає процес; сторонні пакети не потрібні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Git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будь-яка свіжа</w:t>
            </w:r>
          </w:p>
        </w:tc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Клонування репозиторію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Процес працює повністю </w:t>
      </w:r>
      <w:r>
        <w:rPr>
          <w:rFonts w:ascii="Calibri" w:hAnsi="Calibri"/>
          <w:b/>
          <w:i w:val="0"/>
          <w:color w:val="141B2E"/>
          <w:sz w:val="21"/>
        </w:rPr>
        <w:t>офлайн і детерміновано</w:t>
      </w:r>
      <w:r>
        <w:rPr>
          <w:rFonts w:ascii="Calibri" w:hAnsi="Calibri"/>
          <w:i w:val="0"/>
          <w:color w:val="141B2E"/>
          <w:sz w:val="21"/>
        </w:rPr>
        <w:t xml:space="preserve"> — він не просить файлів вручну. Опційні публічні джерела, недоступні, заблоковані ліцензією чи захищені обліковими даними, просто фіксуються; детермінований симулятор забезпечує покриття класів фроду, що не мають повних публічних міток.</w:t>
      </w:r>
    </w:p>
    <w:p>
      <w:pPr>
        <w:keepNext/>
        <w:spacing w:before="240" w:after="40"/>
      </w:pPr>
      <w:r>
        <w:rPr>
          <w:rFonts w:ascii="Calibri" w:hAnsi="Calibri"/>
          <w:b/>
          <w:color w:val="1C5D99"/>
          <w:sz w:val="26"/>
        </w:rPr>
        <w:t>Перевірте інструментарій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java -version       # очікуємо 17 або новіше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mvn -version        # очікуємо 3.9 або новіше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python --version    # очікуємо 3.10 або новіше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4  </w:t>
      </w:r>
      <w:r>
        <w:rPr>
          <w:rFonts w:ascii="Calibri" w:hAnsi="Calibri"/>
          <w:b/>
          <w:color w:val="102A54"/>
          <w:sz w:val="34"/>
        </w:rPr>
        <w:t>Крок 1 — Отримати код і зібрати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git clone https://github.com/rakovpublic/jneopallium.git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cd jneopallium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mvn clean install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Збірка встановлює </w:t>
      </w:r>
      <w:r>
        <w:rPr>
          <w:rFonts w:ascii="Consolas" w:hAnsi="Consolas"/>
          <w:color w:val="102A54"/>
          <w:sz w:val="20"/>
        </w:rPr>
        <w:t>com.rakovpublic.jneopallium:worker:1.0</w:t>
      </w:r>
      <w:r>
        <w:rPr>
          <w:rFonts w:ascii="Calibri" w:hAnsi="Calibri"/>
          <w:i w:val="0"/>
          <w:color w:val="141B2E"/>
          <w:sz w:val="21"/>
        </w:rPr>
        <w:t>. Worker уже містить справжні класи нейронів, процесорів і сигналів ad-fraud, на які посилається навчена мережа (</w:t>
      </w:r>
      <w:r>
        <w:rPr>
          <w:rFonts w:ascii="Consolas" w:hAnsi="Consolas"/>
          <w:color w:val="102A54"/>
          <w:sz w:val="20"/>
        </w:rPr>
        <w:t>com.rakovpublic.jneuropallium.worker.net.neuron.impl.adfraud.*</w:t>
      </w:r>
      <w:r>
        <w:rPr>
          <w:rFonts w:ascii="Calibri" w:hAnsi="Calibri"/>
          <w:i w:val="0"/>
          <w:color w:val="141B2E"/>
          <w:sz w:val="21"/>
        </w:rPr>
        <w:t xml:space="preserve"> та інші), тож для навчання не потрібні додаткові написані вручну класи.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5  </w:t>
      </w:r>
      <w:r>
        <w:rPr>
          <w:rFonts w:ascii="Calibri" w:hAnsi="Calibri"/>
          <w:b/>
          <w:color w:val="102A54"/>
          <w:sz w:val="34"/>
        </w:rPr>
        <w:t>Крок 2 — Запустити детермінований процес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Одна команда виконує весь процес: виявлення джерел, детермінована генерація сценаріїв, нормалізація, аудит витоку, навчання, калібрування, оцінка, експорт моделі, тести Java, відтворення демо та звіт готовності.</w:t>
      </w:r>
    </w:p>
    <w:p>
      <w:pPr>
        <w:keepNext/>
        <w:spacing w:before="180" w:after="20"/>
      </w:pPr>
      <w:r>
        <w:rPr>
          <w:rFonts w:ascii="Calibri" w:hAnsi="Calibri"/>
          <w:b/>
          <w:color w:val="0E7C86"/>
          <w:sz w:val="22"/>
        </w:rPr>
        <w:t>Linux / macOS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scripts/demo-ad-fraud/run_all.sh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keepNext/>
        <w:spacing w:before="180" w:after="20"/>
      </w:pPr>
      <w:r>
        <w:rPr>
          <w:rFonts w:ascii="Calibri" w:hAnsi="Calibri"/>
          <w:b/>
          <w:color w:val="0E7C86"/>
          <w:sz w:val="22"/>
        </w:rPr>
        <w:t>Windows (PowerShell)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powershell -ExecutionPolicy Bypass -File scripts/demo-ad-fraud/run_all.ps1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keepNext/>
        <w:spacing w:before="180" w:after="20"/>
      </w:pPr>
      <w:r>
        <w:rPr>
          <w:rFonts w:ascii="Calibri" w:hAnsi="Calibri"/>
          <w:b/>
          <w:color w:val="0E7C86"/>
          <w:sz w:val="22"/>
        </w:rPr>
        <w:t>Поширені прапорці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2592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Прапорець</w:t>
            </w:r>
          </w:p>
        </w:tc>
        <w:tc>
          <w:tcPr>
            <w:tcW w:type="dxa" w:w="7200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Ефект</w:t>
            </w:r>
          </w:p>
        </w:tc>
      </w:tr>
      <w:tr>
        <w:tc>
          <w:tcPr>
            <w:tcW w:type="dxa" w:w="259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--offline</w:t>
            </w:r>
          </w:p>
        </w:tc>
        <w:tc>
          <w:tcPr>
            <w:tcW w:type="dxa" w:w="720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Ніколи не намагатися завантажувати з мережі; фіксувати джерела як недоступні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--quick</w:t>
            </w:r>
          </w:p>
        </w:tc>
        <w:tc>
          <w:tcPr>
            <w:tcW w:type="dxa" w:w="720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Менший, швидший корпус (усе одно ≥60 подій на сценарій)</w:t>
            </w:r>
          </w:p>
        </w:tc>
      </w:tr>
      <w:tr>
        <w:tc>
          <w:tcPr>
            <w:tcW w:type="dxa" w:w="259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--max-rows N</w:t>
            </w:r>
          </w:p>
        </w:tc>
        <w:tc>
          <w:tcPr>
            <w:tcW w:type="dxa" w:w="720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Розмір корпусу (за замовчуванням 1900 ≈ 100 подій на сценарій)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--seed N</w:t>
            </w:r>
          </w:p>
        </w:tc>
        <w:tc>
          <w:tcPr>
            <w:tcW w:type="dxa" w:w="720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Детермінований сід (за замовчуванням 1729)</w:t>
            </w:r>
          </w:p>
        </w:tc>
      </w:tr>
      <w:tr>
        <w:tc>
          <w:tcPr>
            <w:tcW w:type="dxa" w:w="259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--skip-java</w:t>
            </w:r>
          </w:p>
        </w:tc>
        <w:tc>
          <w:tcPr>
            <w:tcW w:type="dxa" w:w="720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Пропустити тести Java Maven (корисно під час ітерацій)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Приклад: </w:t>
      </w:r>
      <w:r>
        <w:rPr>
          <w:rFonts w:ascii="Consolas" w:hAnsi="Consolas"/>
          <w:color w:val="102A54"/>
          <w:sz w:val="20"/>
        </w:rPr>
        <w:t>python scripts/demo-ad-fraud/run_all.py --offline</w:t>
      </w:r>
      <w:r>
        <w:rPr>
          <w:rFonts w:ascii="Calibri" w:hAnsi="Calibri"/>
          <w:i w:val="0"/>
          <w:color w:val="141B2E"/>
          <w:sz w:val="21"/>
        </w:rPr>
        <w:t>. Запуск друкує зведення JSON із macro-F1, прапорцями готовності та статусом тестів Java.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6  </w:t>
      </w:r>
      <w:r>
        <w:rPr>
          <w:rFonts w:ascii="Calibri" w:hAnsi="Calibri"/>
          <w:b/>
          <w:color w:val="102A54"/>
          <w:sz w:val="34"/>
        </w:rPr>
        <w:t>Крок 3 — Зрозуміти згенеровані результати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Докази процесу записуються в </w:t>
      </w:r>
      <w:r>
        <w:rPr>
          <w:rFonts w:ascii="Consolas" w:hAnsi="Consolas"/>
          <w:color w:val="102A54"/>
          <w:sz w:val="20"/>
        </w:rPr>
        <w:t>target/jneopallium-ad-fraud/</w:t>
      </w:r>
      <w:r>
        <w:rPr>
          <w:rFonts w:ascii="Calibri" w:hAnsi="Calibri"/>
          <w:i w:val="0"/>
          <w:color w:val="141B2E"/>
          <w:sz w:val="21"/>
        </w:rPr>
        <w:t xml:space="preserve">, а готовий до розгортання пакет моделі — у </w:t>
      </w:r>
      <w:r>
        <w:rPr>
          <w:rFonts w:ascii="Consolas" w:hAnsi="Consolas"/>
          <w:color w:val="102A54"/>
          <w:sz w:val="20"/>
        </w:rPr>
        <w:t>worker/src/main/resources/model/advertising-fraud/</w:t>
      </w:r>
      <w:r>
        <w:rPr>
          <w:rFonts w:ascii="Calibri" w:hAnsi="Calibri"/>
          <w:i w:val="0"/>
          <w:color w:val="141B2E"/>
          <w:sz w:val="21"/>
        </w:rPr>
        <w:t>. Зведення має вигляд: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{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"macroF1": 0.966132,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"readiness": {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  "ENGINEERING_READY": true, "SHADOW_READY": true,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  "ADVISORY_READY": true, "AUTOMATED_ACTION_READY": false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},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 "javaTests": "passed"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}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3456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Прапорець готовності</w:t>
            </w:r>
          </w:p>
        </w:tc>
        <w:tc>
          <w:tcPr>
            <w:tcW w:type="dxa" w:w="6336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Значення</w:t>
            </w:r>
          </w:p>
        </w:tc>
      </w:tr>
      <w:tr>
        <w:tc>
          <w:tcPr>
            <w:tcW w:type="dxa" w:w="345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ENGINEERING_READY</w:t>
            </w:r>
          </w:p>
        </w:tc>
        <w:tc>
          <w:tcPr>
            <w:tcW w:type="dxa" w:w="633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Конвеєр з'єднано, відтворювано й експортує валідний пакет</w:t>
            </w:r>
          </w:p>
        </w:tc>
      </w:tr>
      <w:tr>
        <w:tc>
          <w:tcPr>
            <w:tcW w:type="dxa" w:w="345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SHADOW_READY</w:t>
            </w:r>
          </w:p>
        </w:tc>
        <w:tc>
          <w:tcPr>
            <w:tcW w:type="dxa" w:w="633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Безпечно запускати лише для читання поруч із промислом, пишучи в приймач аудиту</w:t>
            </w:r>
          </w:p>
        </w:tc>
      </w:tr>
      <w:tr>
        <w:tc>
          <w:tcPr>
            <w:tcW w:type="dxa" w:w="345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ADVISORY_READY</w:t>
            </w:r>
          </w:p>
        </w:tc>
        <w:tc>
          <w:tcPr>
            <w:tcW w:type="dxa" w:w="6336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Безпечно показувати рекомендації аналітикам</w:t>
            </w:r>
          </w:p>
        </w:tc>
      </w:tr>
      <w:tr>
        <w:tc>
          <w:tcPr>
            <w:tcW w:type="dxa" w:w="345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AUTOMATED_ACTION_READY</w:t>
            </w:r>
          </w:p>
        </w:tc>
        <w:tc>
          <w:tcPr>
            <w:tcW w:type="dxa" w:w="6336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i w:val="0"/>
                <w:color w:val="141B2E"/>
                <w:sz w:val="19"/>
              </w:rPr>
              <w:t>Завжди хибний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>, доки немає власних міток + юр. перегляду + апеляції/відкату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7  </w:t>
      </w:r>
      <w:r>
        <w:rPr>
          <w:rFonts w:ascii="Calibri" w:hAnsi="Calibri"/>
          <w:b/>
          <w:color w:val="102A54"/>
          <w:sz w:val="34"/>
        </w:rPr>
        <w:t>Крок 4 — Етапи процесу, пояснені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1.  </w:t>
      </w:r>
      <w:r>
        <w:rPr>
          <w:rFonts w:ascii="Calibri" w:hAnsi="Calibri"/>
          <w:b/>
          <w:i w:val="0"/>
          <w:color w:val="141B2E"/>
          <w:sz w:val="21"/>
        </w:rPr>
        <w:t>Виявлення джерел і обмежене завантаження.</w:t>
      </w:r>
      <w:r>
        <w:rPr>
          <w:rFonts w:ascii="Calibri" w:hAnsi="Calibri"/>
          <w:i w:val="0"/>
          <w:color w:val="141B2E"/>
          <w:sz w:val="21"/>
        </w:rPr>
        <w:t xml:space="preserve"> Публічні джерела (напр. атрибуція / клік-логи Criteo, краулінг ads.txt / sellers.json, ідентифікатори доброякісних краулерів) каталогізуються; недоступні чи захищені обліковими даними фіксуються, а не запитуються.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2.  </w:t>
      </w:r>
      <w:r>
        <w:rPr>
          <w:rFonts w:ascii="Calibri" w:hAnsi="Calibri"/>
          <w:b/>
          <w:i w:val="0"/>
          <w:color w:val="141B2E"/>
          <w:sz w:val="21"/>
        </w:rPr>
        <w:t>Детермінована генерація сценаріїв.</w:t>
      </w:r>
      <w:r>
        <w:rPr>
          <w:rFonts w:ascii="Calibri" w:hAnsi="Calibri"/>
          <w:i w:val="0"/>
          <w:color w:val="141B2E"/>
          <w:sz w:val="21"/>
        </w:rPr>
        <w:t xml:space="preserve"> Сід-симулятор виробляє реалістичні події по ~19 сценаріях (боти, клік-ферми, мотивовані когорти, click spam/injection, підробка постбеків, підробка інвентаря, а також законний і випадковий трафік).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3.  </w:t>
      </w:r>
      <w:r>
        <w:rPr>
          <w:rFonts w:ascii="Calibri" w:hAnsi="Calibri"/>
          <w:b/>
          <w:i w:val="0"/>
          <w:color w:val="141B2E"/>
          <w:sz w:val="21"/>
        </w:rPr>
        <w:t>Нормалізація й аудит витоку.</w:t>
      </w:r>
      <w:r>
        <w:rPr>
          <w:rFonts w:ascii="Calibri" w:hAnsi="Calibri"/>
          <w:i w:val="0"/>
          <w:color w:val="141B2E"/>
          <w:sz w:val="21"/>
        </w:rPr>
        <w:t xml:space="preserve"> Події стають канонічними рядками; аудит провалює запуск, якщо будь-який ідентифікатор пристрою / кліку / кампанії перетинає межі розбиття.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4.  </w:t>
      </w:r>
      <w:r>
        <w:rPr>
          <w:rFonts w:ascii="Calibri" w:hAnsi="Calibri"/>
          <w:b/>
          <w:i w:val="0"/>
          <w:color w:val="141B2E"/>
          <w:sz w:val="21"/>
        </w:rPr>
        <w:t>Навчання й калібрування.</w:t>
      </w:r>
      <w:r>
        <w:rPr>
          <w:rFonts w:ascii="Calibri" w:hAnsi="Calibri"/>
          <w:i w:val="0"/>
          <w:color w:val="141B2E"/>
          <w:sz w:val="21"/>
        </w:rPr>
        <w:t xml:space="preserve"> Класово-зважені, L2-регуляризовані логістичні голови припасовуються над базовими + поведінковими + нелінійними ознаками взаємодії, потім кожну голову калібрують за Platt на відкладеному розбитті калібрування.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5.  </w:t>
      </w:r>
      <w:r>
        <w:rPr>
          <w:rFonts w:ascii="Calibri" w:hAnsi="Calibri"/>
          <w:b/>
          <w:i w:val="0"/>
          <w:color w:val="141B2E"/>
          <w:sz w:val="21"/>
        </w:rPr>
        <w:t>Пороги з урахуванням вартості й оцінка.</w:t>
      </w:r>
      <w:r>
        <w:rPr>
          <w:rFonts w:ascii="Calibri" w:hAnsi="Calibri"/>
          <w:i w:val="0"/>
          <w:color w:val="141B2E"/>
          <w:sz w:val="21"/>
        </w:rPr>
        <w:t xml:space="preserve"> Робочі точки на мітку обираються за очікуваною користю; метрики включають точність/повноту/F1, PR/ROC-AUC, Brier, похибку калібрування й зважену за вартістю економію.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6.  </w:t>
      </w:r>
      <w:r>
        <w:rPr>
          <w:rFonts w:ascii="Calibri" w:hAnsi="Calibri"/>
          <w:b/>
          <w:i w:val="0"/>
          <w:color w:val="141B2E"/>
          <w:sz w:val="21"/>
        </w:rPr>
        <w:t>Експорт, тести, готовність, документи.</w:t>
      </w:r>
      <w:r>
        <w:rPr>
          <w:rFonts w:ascii="Calibri" w:hAnsi="Calibri"/>
          <w:i w:val="0"/>
          <w:color w:val="141B2E"/>
          <w:sz w:val="21"/>
        </w:rPr>
        <w:t xml:space="preserve"> Готова до розгортання мережа записується, тести Java запускаються, а звіт готовності й картки моделі/даних формуються.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8  </w:t>
      </w:r>
      <w:r>
        <w:rPr>
          <w:rFonts w:ascii="Calibri" w:hAnsi="Calibri"/>
          <w:b/>
          <w:color w:val="102A54"/>
          <w:sz w:val="34"/>
        </w:rPr>
        <w:t>Крок 5 — Додати власні дані (канонічна подія)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Щоб вийти за межі еталонного корпусу, ви надаєте власні канонічні події. Кожна подія зберігає й час події, й час прийому та несе поля цілісності, поведінкові, постачання й відкладеної якості, а також метадані походження мітки. Сирі персональні ідентифікатори мають бути хешовані HMAC перед навчанням, збереженням чи логами.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AF1F9"/>
          <w:left w:val="single" w:sz="4" w:space="0" w:color="EAF1F9"/>
          <w:bottom w:val="single" w:sz="4" w:space="0" w:color="EAF1F9"/>
          <w:right w:val="single" w:sz="4" w:space="0" w:color="EAF1F9"/>
          <w:insideH w:val="single" w:sz="4" w:space="0" w:color="EAF1F9"/>
          <w:insideV w:val="single" w:sz="4" w:space="0" w:color="EAF1F9"/>
        </w:tblBorders>
      </w:tblPr>
      <w:tblGrid>
        <w:gridCol w:w="9173"/>
      </w:tblGrid>
      <w:tr>
        <w:tc>
          <w:tcPr>
            <w:tcW w:type="dxa" w:w="9173"/>
            <w:shd w:val="clear" w:color="auto" w:fill="EAF1F9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C5D99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C5D99"/>
                <w:sz w:val="21"/>
              </w:rPr>
              <w:t>Політика розбиття — це гарантія цілісності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Ніколи не розбивайте за випадковим рядком. Розбивайте за сценарієм, епізодом кампанії й детермінованим блоком реплік і тримайте ворожий холдаут — тож заявлена якість відображає справді небачений трафік. Аудит витоку забезпечує це автоматично.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 xml:space="preserve">Походження міток має значення: еталонна модель використовує детерміновані мітки симулятора й слабкі публічні метадані. Реальна промислова точність потребує </w:t>
      </w:r>
      <w:r>
        <w:rPr>
          <w:rFonts w:ascii="Calibri" w:hAnsi="Calibri"/>
          <w:b/>
          <w:i w:val="0"/>
          <w:color w:val="141B2E"/>
          <w:sz w:val="21"/>
        </w:rPr>
        <w:t>власного розміченого трафіку</w:t>
      </w:r>
      <w:r>
        <w:rPr>
          <w:rFonts w:ascii="Calibri" w:hAnsi="Calibri"/>
          <w:i w:val="0"/>
          <w:color w:val="141B2E"/>
          <w:sz w:val="21"/>
        </w:rPr>
        <w:t xml:space="preserve"> — підтверджених чарджбеків, рішень MMP щодо фроду, ручних вердиктів аналітиків — і валідації вперед у часі та на небачених паблішерах.</w:t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9  </w:t>
      </w:r>
      <w:r>
        <w:rPr>
          <w:rFonts w:ascii="Calibri" w:hAnsi="Calibri"/>
          <w:b/>
          <w:color w:val="102A54"/>
          <w:sz w:val="34"/>
        </w:rPr>
        <w:t>Крок 6 — Згенеровані артефакти: готова до розгортання мережа</w:t>
      </w:r>
    </w:p>
    <w:p>
      <w:pPr>
        <w:spacing w:after="120"/>
      </w:pPr>
      <w:r>
        <w:rPr>
          <w:rFonts w:ascii="Calibri" w:hAnsi="Calibri"/>
          <w:i w:val="0"/>
          <w:color w:val="141B2E"/>
          <w:sz w:val="21"/>
        </w:rPr>
        <w:t>Кожен запуск записує теку конфігурації у стилі JNeopallium, готову до розгортання як є, — власне мережу рівнів і нейронів, з якої завантажується середовище виконання: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4320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Артефакт</w:t>
            </w:r>
          </w:p>
        </w:tc>
        <w:tc>
          <w:tcPr>
            <w:tcW w:type="dxa" w:w="5472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Що це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model-descriptor.json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Опис усієї мережі: 8 рівнів, 22 нейрони, мапа частот, класи часу виконання</w:t>
            </w:r>
          </w:p>
        </w:tc>
      </w:tr>
      <w:tr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fallback-model.json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Навчені каліброві голови + нелінійний прихований рівень (featureNames, hidden, heads)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layer-0.json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… </w:t>
            </w:r>
            <w:r>
              <w:rPr>
                <w:rFonts w:ascii="Consolas" w:hAnsi="Consolas"/>
                <w:color w:val="102A54"/>
                <w:sz w:val="18"/>
              </w:rPr>
              <w:t>layer-6-…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, </w:t>
            </w:r>
            <w:r>
              <w:rPr>
                <w:rFonts w:ascii="Consolas" w:hAnsi="Consolas"/>
                <w:color w:val="102A54"/>
                <w:sz w:val="18"/>
              </w:rPr>
              <w:t>result-layer.json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Вісім файлів рівнів для розгортання</w:t>
            </w:r>
          </w:p>
        </w:tc>
      </w:tr>
      <w:tr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thresholds.json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/ </w:t>
            </w:r>
            <w:r>
              <w:rPr>
                <w:rFonts w:ascii="Consolas" w:hAnsi="Consolas"/>
                <w:color w:val="102A54"/>
                <w:sz w:val="18"/>
              </w:rPr>
              <w:t>calibration.json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Пороги на мітку з урахуванням вартості та Platt-калібрування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feature-schema.json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/ </w:t>
            </w:r>
            <w:r>
              <w:rPr>
                <w:rFonts w:ascii="Consolas" w:hAnsi="Consolas"/>
                <w:color w:val="102A54"/>
                <w:sz w:val="18"/>
              </w:rPr>
              <w:t>label-schema.json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Вхідні ознаки та десять міток</w:t>
            </w:r>
          </w:p>
        </w:tc>
      </w:tr>
      <w:tr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training-manifest.json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Джерела, кількість прикладів, політика розбиття, повні метрики</w:t>
            </w:r>
          </w:p>
        </w:tc>
      </w:tr>
      <w:tr>
        <w:tc>
          <w:tcPr>
            <w:tcW w:type="dxa" w:w="4320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MODEL_CARD.md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/ </w:t>
            </w:r>
            <w:r>
              <w:rPr>
                <w:rFonts w:ascii="Consolas" w:hAnsi="Consolas"/>
                <w:color w:val="102A54"/>
                <w:sz w:val="18"/>
              </w:rPr>
              <w:t>DATA_CARD.md</w:t>
            </w:r>
          </w:p>
        </w:tc>
        <w:tc>
          <w:tcPr>
            <w:tcW w:type="dxa" w:w="5472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Картки безпеки (лише рекомендації; статуси джерел)</w:t>
            </w:r>
          </w:p>
        </w:tc>
      </w:tr>
      <w:tr>
        <w:tc>
          <w:tcPr>
            <w:tcW w:type="dxa" w:w="4320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checksums.sha256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Маніфест цілісності, який пакет Java перевіряє при завантаженні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spacing w:after="120"/>
      </w:pPr>
      <w:r>
        <w:rPr>
          <w:rFonts w:ascii="Consolas" w:hAnsi="Consolas"/>
          <w:color w:val="102A54"/>
          <w:sz w:val="20"/>
        </w:rPr>
        <w:t>model-descriptor.json</w:t>
      </w:r>
      <w:r>
        <w:rPr>
          <w:rFonts w:ascii="Calibri" w:hAnsi="Calibri"/>
          <w:i w:val="0"/>
          <w:color w:val="141B2E"/>
          <w:sz w:val="21"/>
        </w:rPr>
        <w:t xml:space="preserve"> фіксує </w:t>
      </w:r>
      <w:r>
        <w:rPr>
          <w:rFonts w:ascii="Calibri" w:hAnsi="Calibri"/>
          <w:b/>
          <w:i w:val="0"/>
          <w:color w:val="141B2E"/>
          <w:sz w:val="21"/>
        </w:rPr>
        <w:t>8-рівневу, 22-нейронну</w:t>
      </w:r>
      <w:r>
        <w:rPr>
          <w:rFonts w:ascii="Calibri" w:hAnsi="Calibri"/>
          <w:i w:val="0"/>
          <w:color w:val="141B2E"/>
          <w:sz w:val="21"/>
        </w:rPr>
        <w:t xml:space="preserve"> мережу — вхід, цілісність подій, сутність/граф/якість, поведінкові докази, взаємодія ознак (нелінійний прихований рівень), навчена кореляція, рекомендаційний запобіжник і результат — де кожен нейрон посилається на конкретний клас із пакета ad-fraud worker.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8F3EC"/>
          <w:left w:val="single" w:sz="4" w:space="0" w:color="E8F3EC"/>
          <w:bottom w:val="single" w:sz="4" w:space="0" w:color="E8F3EC"/>
          <w:right w:val="single" w:sz="4" w:space="0" w:color="E8F3EC"/>
          <w:insideH w:val="single" w:sz="4" w:space="0" w:color="E8F3EC"/>
          <w:insideV w:val="single" w:sz="4" w:space="0" w:color="E8F3EC"/>
        </w:tblBorders>
      </w:tblPr>
      <w:tblGrid>
        <w:gridCol w:w="9173"/>
      </w:tblGrid>
      <w:tr>
        <w:tc>
          <w:tcPr>
            <w:tcW w:type="dxa" w:w="9173"/>
            <w:shd w:val="clear" w:color="auto" w:fill="E8F3EC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F7A3D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7A3D"/>
                <w:sz w:val="21"/>
              </w:rPr>
              <w:t>Чому це важливо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Оскільки навчання видає справжню, придатну до перевірки, готову до розгортання конфігурацію з каліброваними головами й порогами всередині, між «тим, що навчили» і «тим, що запускаємо», немає кроку перекладу. Посібник з розгортання просто спрямовує середовище виконання на цю теку.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10  </w:t>
      </w:r>
      <w:r>
        <w:rPr>
          <w:rFonts w:ascii="Calibri" w:hAnsi="Calibri"/>
          <w:b/>
          <w:color w:val="102A54"/>
          <w:sz w:val="34"/>
        </w:rPr>
        <w:t>Крок 7 — Перевірити запуск за критеріями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1.  </w:t>
      </w:r>
      <w:r>
        <w:rPr>
          <w:rFonts w:ascii="Calibri" w:hAnsi="Calibri"/>
          <w:i w:val="0"/>
          <w:color w:val="141B2E"/>
          <w:sz w:val="21"/>
        </w:rPr>
        <w:t>Аудит витоку пройдено (жоден ідентифікатор не перетинає межі розбиття).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2.  </w:t>
      </w:r>
      <w:r>
        <w:rPr>
          <w:rFonts w:ascii="Calibri" w:hAnsi="Calibri"/>
          <w:i w:val="0"/>
          <w:color w:val="141B2E"/>
          <w:sz w:val="21"/>
        </w:rPr>
        <w:t>Macro-F1 відповідає вашій планці (еталонний запуск сягає ≈ 0.97; таблиця на мітку — в описі та Звіті про тестування).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3.  </w:t>
      </w:r>
      <w:r>
        <w:rPr>
          <w:rFonts w:ascii="Calibri" w:hAnsi="Calibri"/>
          <w:i w:val="0"/>
          <w:color w:val="141B2E"/>
          <w:sz w:val="21"/>
        </w:rPr>
        <w:t>Калібрування — справжнє Platt-масштабування на мітку (не тотожність), а похибка калібрування в межах бюджету.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4.  </w:t>
      </w:r>
      <w:r>
        <w:rPr>
          <w:rFonts w:ascii="Calibri" w:hAnsi="Calibri"/>
          <w:i w:val="0"/>
          <w:color w:val="141B2E"/>
          <w:sz w:val="21"/>
        </w:rPr>
        <w:t xml:space="preserve">Вісім файлів рівнів, опис і </w:t>
      </w:r>
      <w:r>
        <w:rPr>
          <w:rFonts w:ascii="Consolas" w:hAnsi="Consolas"/>
          <w:color w:val="102A54"/>
          <w:sz w:val="20"/>
        </w:rPr>
        <w:t>checksums.sha256</w:t>
      </w:r>
      <w:r>
        <w:rPr>
          <w:rFonts w:ascii="Calibri" w:hAnsi="Calibri"/>
          <w:i w:val="0"/>
          <w:color w:val="141B2E"/>
          <w:sz w:val="21"/>
        </w:rPr>
        <w:t xml:space="preserve"> записано, і вони посилаються на очікувані класи часу виконання.</w:t>
      </w:r>
    </w:p>
    <w:p>
      <w:pPr>
        <w:spacing w:after="60" w:line="269" w:lineRule="auto"/>
        <w:ind w:left="720" w:hanging="317"/>
      </w:pPr>
      <w:r>
        <w:rPr>
          <w:rFonts w:ascii="Calibri" w:hAnsi="Calibri"/>
          <w:b/>
          <w:color w:val="0E7C86"/>
          <w:sz w:val="21"/>
        </w:rPr>
        <w:t xml:space="preserve">5.  </w:t>
      </w:r>
      <w:r>
        <w:rPr>
          <w:rFonts w:ascii="Calibri" w:hAnsi="Calibri"/>
          <w:i w:val="0"/>
          <w:color w:val="141B2E"/>
          <w:sz w:val="21"/>
        </w:rPr>
        <w:t>Тести Java проходять (</w:t>
      </w:r>
      <w:r>
        <w:rPr>
          <w:rFonts w:ascii="Consolas" w:hAnsi="Consolas"/>
          <w:color w:val="102A54"/>
          <w:sz w:val="20"/>
        </w:rPr>
        <w:t>javaTests: passed</w:t>
      </w:r>
      <w:r>
        <w:rPr>
          <w:rFonts w:ascii="Calibri" w:hAnsi="Calibri"/>
          <w:i w:val="0"/>
          <w:color w:val="141B2E"/>
          <w:sz w:val="21"/>
        </w:rPr>
        <w:t xml:space="preserve">), а звіт готовності тримає </w:t>
      </w:r>
      <w:r>
        <w:rPr>
          <w:rFonts w:ascii="Consolas" w:hAnsi="Consolas"/>
          <w:color w:val="102A54"/>
          <w:sz w:val="20"/>
        </w:rPr>
        <w:t>AUTOMATED_ACTION_READY=false</w:t>
      </w:r>
      <w:r>
        <w:rPr>
          <w:rFonts w:ascii="Calibri" w:hAnsi="Calibri"/>
          <w:i w:val="0"/>
          <w:color w:val="141B2E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AF1F9"/>
          <w:left w:val="single" w:sz="4" w:space="0" w:color="EAF1F9"/>
          <w:bottom w:val="single" w:sz="4" w:space="0" w:color="EAF1F9"/>
          <w:right w:val="single" w:sz="4" w:space="0" w:color="EAF1F9"/>
          <w:insideH w:val="single" w:sz="4" w:space="0" w:color="EAF1F9"/>
          <w:insideV w:val="single" w:sz="4" w:space="0" w:color="EAF1F9"/>
        </w:tblBorders>
      </w:tblPr>
      <w:tblGrid>
        <w:gridCol w:w="9173"/>
      </w:tblGrid>
      <w:tr>
        <w:tc>
          <w:tcPr>
            <w:tcW w:type="dxa" w:w="9173"/>
            <w:shd w:val="clear" w:color="auto" w:fill="EAF1F9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1C5D99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C5D99"/>
                <w:sz w:val="21"/>
              </w:rPr>
              <w:t>Перевірка відтворюваності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41B2E"/>
                <w:sz w:val="20"/>
              </w:rPr>
              <w:t>Запуск детермінований для заданого сіда. Повторний запуск тієї самої команди має відтворити той самий macro-F1 і ті самі метрики на мітку. Розбіжність сигналізує, що змінилися вхід, сід чи інструментарій.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11  </w:t>
      </w:r>
      <w:r>
        <w:rPr>
          <w:rFonts w:ascii="Calibri" w:hAnsi="Calibri"/>
          <w:b/>
          <w:color w:val="102A54"/>
          <w:sz w:val="34"/>
        </w:rPr>
        <w:t>Усунення несправностей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BE5"/>
          <w:left w:val="single" w:sz="4" w:space="0" w:color="D6DBE5"/>
          <w:bottom w:val="single" w:sz="4" w:space="0" w:color="D6DBE5"/>
          <w:right w:val="single" w:sz="4" w:space="0" w:color="D6DBE5"/>
          <w:insideH w:val="single" w:sz="4" w:space="0" w:color="D6DBE5"/>
          <w:insideV w:val="single" w:sz="4" w:space="0" w:color="D6DBE5"/>
        </w:tblBorders>
      </w:tblPr>
      <w:tblGrid>
        <w:gridCol w:w="4586"/>
        <w:gridCol w:w="4586"/>
      </w:tblGrid>
      <w:tr>
        <w:tc>
          <w:tcPr>
            <w:tcW w:type="dxa" w:w="4464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Симптом</w:t>
            </w:r>
          </w:p>
        </w:tc>
        <w:tc>
          <w:tcPr>
            <w:tcW w:type="dxa" w:w="5328"/>
            <w:shd w:val="clear" w:color="auto" w:fill="0E7C8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Імовірна причина й виправлення</w:t>
            </w:r>
          </w:p>
        </w:tc>
      </w:tr>
      <w:tr>
        <w:tc>
          <w:tcPr>
            <w:tcW w:type="dxa" w:w="446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02A54"/>
                <w:sz w:val="18"/>
              </w:rPr>
              <w:t>java -version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показує &lt; 17</w:t>
            </w:r>
          </w:p>
        </w:tc>
        <w:tc>
          <w:tcPr>
            <w:tcW w:type="dxa" w:w="532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Встановіть JDK 17+ і вкажіть </w:t>
            </w:r>
            <w:r>
              <w:rPr>
                <w:rFonts w:ascii="Consolas" w:hAnsi="Consolas"/>
                <w:color w:val="102A54"/>
                <w:sz w:val="18"/>
              </w:rPr>
              <w:t>JAVA_HOME</w:t>
            </w:r>
          </w:p>
        </w:tc>
      </w:tr>
      <w:tr>
        <w:tc>
          <w:tcPr>
            <w:tcW w:type="dxa" w:w="446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Процес завершується на аудиті витоку</w:t>
            </w:r>
          </w:p>
        </w:tc>
        <w:tc>
          <w:tcPr>
            <w:tcW w:type="dxa" w:w="532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Ідентифікатор перетинає розбиття; перевірте політику розбиття даних</w:t>
            </w:r>
          </w:p>
        </w:tc>
      </w:tr>
      <w:tr>
        <w:tc>
          <w:tcPr>
            <w:tcW w:type="dxa" w:w="446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Тести Java падають після зміни</w:t>
            </w:r>
          </w:p>
        </w:tc>
        <w:tc>
          <w:tcPr>
            <w:tcW w:type="dxa" w:w="532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Змінилися структурні лічильники; перезекспортуйте пакет і узгодьте очікування тесту</w:t>
            </w:r>
          </w:p>
        </w:tc>
      </w:tr>
      <w:tr>
        <w:tc>
          <w:tcPr>
            <w:tcW w:type="dxa" w:w="446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Джерела показують </w:t>
            </w:r>
            <w:r>
              <w:rPr>
                <w:rFonts w:ascii="Consolas" w:hAnsi="Consolas"/>
                <w:color w:val="102A54"/>
                <w:sz w:val="18"/>
              </w:rPr>
              <w:t>dataset_unavailable</w:t>
            </w:r>
          </w:p>
        </w:tc>
        <w:tc>
          <w:tcPr>
            <w:tcW w:type="dxa" w:w="532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Очікувано офлайн; детермінований симулятор усе одно дає покриття</w:t>
            </w:r>
          </w:p>
        </w:tc>
      </w:tr>
      <w:tr>
        <w:tc>
          <w:tcPr>
            <w:tcW w:type="dxa" w:w="4464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Macro-F1 нижчий за очікуваний на ваших даних</w:t>
            </w:r>
          </w:p>
        </w:tc>
        <w:tc>
          <w:tcPr>
            <w:tcW w:type="dxa" w:w="5328"/>
            <w:shd w:val="clear" w:color="auto" w:fill="F4F7FB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Додайте власні мітки й більше варіативності на сценарій; перевірте калібрування</w:t>
            </w:r>
          </w:p>
        </w:tc>
      </w:tr>
      <w:tr>
        <w:tc>
          <w:tcPr>
            <w:tcW w:type="dxa" w:w="4464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>Невідповідність контрольної суми в Java</w:t>
            </w:r>
          </w:p>
        </w:tc>
        <w:tc>
          <w:tcPr>
            <w:tcW w:type="dxa" w:w="5328"/>
            <w:shd w:val="clear" w:color="auto" w:fill="FFFFFF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Перезапустіть процес, щоб </w:t>
            </w:r>
            <w:r>
              <w:rPr>
                <w:rFonts w:ascii="Consolas" w:hAnsi="Consolas"/>
                <w:color w:val="102A54"/>
                <w:sz w:val="18"/>
              </w:rPr>
              <w:t>checksums.sha256</w:t>
            </w:r>
            <w:r>
              <w:rPr>
                <w:rFonts w:ascii="Calibri" w:hAnsi="Calibri"/>
                <w:i w:val="0"/>
                <w:color w:val="141B2E"/>
                <w:sz w:val="19"/>
              </w:rPr>
              <w:t xml:space="preserve"> відповідав експортованим файлам</w:t>
            </w:r>
          </w:p>
        </w:tc>
      </w:tr>
    </w:tbl>
    <w:p>
      <w:pPr>
        <w:spacing w:after="0" w:before="0"/>
      </w:pPr>
      <w:r>
        <w:rPr>
          <w:sz w:val="12"/>
        </w:rPr>
      </w:r>
    </w:p>
    <w:p>
      <w:pPr>
        <w:keepNext/>
        <w:spacing w:before="320" w:after="40"/>
        <w:pBdr>
          <w:bottom w:val="single" w:sz="10" w:space="4" w:color="0E7C86"/>
        </w:pBdr>
      </w:pPr>
      <w:r>
        <w:rPr>
          <w:rFonts w:ascii="Calibri" w:hAnsi="Calibri"/>
          <w:b/>
          <w:color w:val="0E7C86"/>
          <w:sz w:val="34"/>
        </w:rPr>
        <w:t xml:space="preserve">12  </w:t>
      </w:r>
      <w:r>
        <w:rPr>
          <w:rFonts w:ascii="Calibri" w:hAnsi="Calibri"/>
          <w:b/>
          <w:color w:val="102A54"/>
          <w:sz w:val="34"/>
        </w:rPr>
        <w:t>Додаток — шпаргалка навчання</w:t>
      </w:r>
    </w:p>
    <w:p>
      <w:pPr>
        <w:keepNext/>
        <w:spacing w:before="180" w:after="20"/>
      </w:pPr>
      <w:r>
        <w:rPr>
          <w:rFonts w:ascii="Calibri" w:hAnsi="Calibri"/>
          <w:b/>
          <w:color w:val="0E7C86"/>
          <w:sz w:val="22"/>
        </w:rPr>
        <w:t>Збірка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git clone https://github.com/rakovpublic/jneopallium.git &amp;&amp; cd jneopallium &amp;&amp; mvn clean install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keepNext/>
        <w:spacing w:before="180" w:after="20"/>
      </w:pPr>
      <w:r>
        <w:rPr>
          <w:rFonts w:ascii="Calibri" w:hAnsi="Calibri"/>
          <w:b/>
          <w:color w:val="0E7C86"/>
          <w:sz w:val="22"/>
        </w:rPr>
        <w:t>Запуск процесу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173"/>
      </w:tblGrid>
      <w:tr>
        <w:tc>
          <w:tcPr>
            <w:tcW w:type="dxa" w:w="9173"/>
            <w:shd w:val="clear" w:color="auto" w:fill="0E1A2B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# повний детермінований запуск (офлайн)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python scripts/demo-ad-fraud/run_all.py --offline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# швидка ітерація, без тестів Java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python scripts/demo-ad-fraud/run_all.py --quick --offline --skip-java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 xml:space="preserve"> 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# обгортки Linux/macOS і Windows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scripts/demo-ad-fraud/run_all.sh</w:t>
            </w:r>
          </w:p>
          <w:p>
            <w:pPr>
              <w:spacing w:after="0" w:line="254" w:lineRule="auto"/>
            </w:pPr>
            <w:r>
              <w:rPr>
                <w:rFonts w:ascii="Consolas" w:hAnsi="Consolas"/>
                <w:color w:val="D6E7C8"/>
                <w:sz w:val="18"/>
              </w:rPr>
              <w:t>powershell -File scripts/demo-ad-fraud/run_all.ps1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0" w:before="0"/>
      </w:pPr>
      <w:r>
        <w:rPr>
          <w:sz w:val="16"/>
        </w:rPr>
      </w:r>
    </w:p>
    <w:p>
      <w:pPr>
        <w:spacing w:after="120"/>
      </w:pPr>
      <w:r>
        <w:rPr>
          <w:rFonts w:ascii="Calibri" w:hAnsi="Calibri"/>
          <w:i/>
          <w:color w:val="0E7C86"/>
          <w:sz w:val="21"/>
        </w:rPr>
        <w:t>Jneopallium Ad-Fraud Guardian · Посібник з навчання. Тренер видає готову до розгортання мережу JNeopallium; як її запустити — у Посібнику з розгортання. Режим безпеки: ADVISORY / SHADOW. Ліцензія: BSD 3-Clause.</w:t>
      </w:r>
    </w:p>
    <w:sectPr w:rsidR="00FC693F" w:rsidRPr="0006063C" w:rsidSect="00034616">
      <w:footerReference w:type="default" r:id="rId9"/>
      <w:pgSz w:w="11909" w:h="16834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8A93A6"/>
        <w:sz w:val="16"/>
      </w:rPr>
      <w:t>Jneopallium · Ad-Fraud Guardian · Багатоміткова рекомендація щодо невалідного трафіку · ADVISORY</w:t>
    </w:r>
    <w:r>
      <w:rPr>
        <w:sz w:val="16"/>
      </w:rPr>
      <w:t xml:space="preserve">    </w:t>
    </w:r>
    <w:r>
      <w:rPr>
        <w:color w:val="8A93A6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41B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