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SELF-SUPERVISED MAINTENANCE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ПОСІБНИК З РОЗГОРТАННЯ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Посібник з налаштування та розгортання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Завантажте мережу без міток, підключіть телеметрію та зворотний зв'язок операторів і запустіть рекомендаційний скорер у продакшені</w:t>
      </w:r>
    </w:p>
    <w:p>
      <w:pPr>
        <w:pBdr>
          <w:bottom w:val="single" w:sz="10" w:space="4" w:color="0E7C86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Виробничий регламент: як запускач Entry завантажує згенеровану збірку, як налаштувати входи телеметрії та канал зворотного зв'язку, як рекомендації виходять із системи, як безперервне навчання працює без переустановлення та які шлюзи безпеки слід зберігати.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Документ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Посібник з налаштування та розгортання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Продукт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Self-Supervised Maintenance Guardian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Точка входу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com.rakovpublic.jneuropallium.worker.application.Entry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Збірка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model/self-supervised-maintenance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Режими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local · http · grpc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Безпека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ADVISORY / лише читання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Автор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Дмитро Раковський — Харків, Україна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Дата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 липня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Ліцензія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102A54"/>
          <w:sz w:val="34"/>
        </w:rPr>
        <w:t>Зміст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Що ви розгортаєте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Передумови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Крок 1 — збірка та IContext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Крок 2 — запустити точку входу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Крок 3 — підключити входи телеметрії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Крок 4 — підключити канал зворотного зв'язку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Крок 5 — куди йдуть рекомендації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Крок 6 — режими розгортання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Крок 7 — безперервне навчання у продакшені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Розкатка: тінь → рекомендація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Експлуатація та моніторинг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Контрольний список безпеки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13.  </w:t>
      </w:r>
      <w:r>
        <w:rPr>
          <w:rFonts w:ascii="Calibri" w:hAnsi="Calibri"/>
          <w:color w:val="141B2E"/>
          <w:sz w:val="21"/>
        </w:rPr>
        <w:t>Усунення несправностей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Що ви розгортаєте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Робочий вузол Jneopallium, що приймає телеметрію активів, оцінює кожен кадр через мережу обслуговування без міток і видає рекомендації лише для читання із сімейством несправності та запасом часу. Він також споживає зворотний зв'язок операторів і адаптує власні пороги тривог на місці — без перезапуску, без переустановлення. Він ніколи не керує пристроєм.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Єдине правило, що ніколи не змінюється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Ця модель рекомендаційна. Вона радить огляд; вона не планує роботи, не спрацьовує блокуванням і не рухає виконавчий механізм. Жорсткий шар безпеки лишається цілком поза навченим шляхом.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Передумови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JDK 17 і зібраний артефакт worker (worker-1.0-SNAPSHOT.jar) або ваш упакований JAR моделі.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Навчена збірка з посібника з навчання у model/self-supervised-maintenance/.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Джерело телеметрії (OPC UA чи MQTT) та, для навчання, джерело зворотного зв'язку (подія UI/CMMS, яку позначає оператор).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Записуване сховище для збереженого стану нейронів (щоб навчання переживало перезапуски).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Крок 1 — збірка та IContext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Розгортувана модель — це каталог збірки. production-context.json — це IContext, який десеріалізує запускач; його ключові записи: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46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Ключ IContext</w:t>
            </w:r>
          </w:p>
        </w:tc>
        <w:tc>
          <w:tcPr>
            <w:tcW w:type="dxa" w:w="460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Значення / зміст</w:t>
            </w:r>
          </w:p>
        </w:tc>
      </w:tr>
      <w:tr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configuration.input.layermeta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п'ять шарів (0–4)</w:t>
            </w:r>
          </w:p>
        </w:tc>
      </w:tr>
      <w:tr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neuronnet.classes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чотири класи нейронів ssmaint (перевіряються на старті)</w:t>
            </w:r>
          </w:p>
        </w:tc>
      </w:tr>
      <w:tr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input.inputs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джерело AssetTelemetrySignal (OPC UA / MQTT)</w:t>
            </w:r>
          </w:p>
        </w:tc>
      </w:tr>
      <w:tr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outputAggregator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куди записуються рекомендації (JSONL / Kafka / MQTT)</w:t>
            </w:r>
          </w:p>
        </w:tc>
      </w:tr>
      <w:tr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storage.json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model/self-supervised-maintenance (збережений стан)</w:t>
            </w:r>
          </w:p>
        </w:tc>
      </w:tr>
      <w:tr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processing.frequency.map / slowfast.ratio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каданс швидкої телеметрії проти повільного зв'язку</w:t>
            </w:r>
          </w:p>
        </w:tc>
      </w:tr>
      <w:tr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isteacherstudying=false, discriminatorsAmount=0, infiniteRun=true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цикл рекомендаційного висновку</w:t>
            </w:r>
          </w:p>
        </w:tc>
      </w:tr>
      <w:tr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safetyMode / advisoryOnly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ADVISORY / true — примусово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Запускач перевіряє neuronnet.classes на старті й швидко падає, якщо класу бракує — тож хибно налаштована збірка ніколи не стартує наполовину.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Крок 2 — запустити точку входу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-cp worker-1.0-SNAPSHOT.jar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com.rakovpublic.jneuropallium.worker.application.Entry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local &lt;model-jar-url&gt; &lt;IContext-class&gt;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worker/src/main/resources/model/self-supervised-maintenance/production-context.json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Runner десеріалізує IContext, завантажує ваш JAR моделі через завантажувач класів JAR, обирає IApplication для вибраного режиму й починає цикл висновку. Далі — телеметрія на вході, рекомендації на виході.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Крок 3 — підключити входи телеметрії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Зіставте живі теги кожного активу з AssetTelemetrySignal на такт: вісім каналів сенсорів плюс цілочисельний режим роботи. Використовуйте стандартні промислові входи: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OPC UA</w:t>
      </w:r>
      <w:r>
        <w:rPr>
          <w:rFonts w:ascii="Calibri" w:hAnsi="Calibri"/>
          <w:i w:val="0"/>
          <w:color w:val="141B2E"/>
          <w:sz w:val="21"/>
        </w:rPr>
        <w:t xml:space="preserve"> — OpcUaMeasurementInput для тегів процесу (тиск, витрата, температура, потужність, положення клапана).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MQTT / Sparkplug B</w:t>
      </w:r>
      <w:r>
        <w:rPr>
          <w:rFonts w:ascii="Calibri" w:hAnsi="Calibri"/>
          <w:i w:val="0"/>
          <w:color w:val="141B2E"/>
          <w:sz w:val="21"/>
        </w:rPr>
        <w:t xml:space="preserve"> — MqttMetricInput для IIoT-шлюзів і потоків вібрації/акустики.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Виведіть </w:t>
      </w:r>
      <w:r>
        <w:rPr>
          <w:rFonts w:ascii="Calibri" w:hAnsi="Calibri"/>
          <w:b/>
          <w:i w:val="0"/>
          <w:color w:val="141B2E"/>
          <w:sz w:val="21"/>
        </w:rPr>
        <w:t>режим</w:t>
      </w:r>
      <w:r>
        <w:rPr>
          <w:rFonts w:ascii="Calibri" w:hAnsi="Calibri"/>
          <w:i w:val="0"/>
          <w:color w:val="141B2E"/>
          <w:sz w:val="21"/>
        </w:rPr>
        <w:t xml:space="preserve"> зі смуги навантаження чи потужності, якщо не публікуєте його напряму.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Правильно задайте назви сенсорів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Ваги відновлення прив'язані до назв сенсорів. Зіставлення тег→сенсор має точно збігатися з sensorOrder у шарі 1, інакше залишки безглузді. Перевірте зіставлення один раз при введенні в експлуатацію.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Крок 4 — підключити канал зворотного зв'язку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Саме це змушує модель вдосконалюватися. Коли оператор виносить вердикт щодо рекомендації у вашому UI, CMMS чи SIEM, опублікуйте OperatorFeedbackSignal, що несе: актив, сімейство несправності, підтверджено / хибне, особу оператора та значення зсуву домену, спостережене коли рекомендація спрацювала (щоб адаптер міг заморозитися під час новизни). Зворотний зв'язок працює на повільному циклі; він не мусить бути в реальному часі.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Підтверджені</w:t>
      </w:r>
      <w:r>
        <w:rPr>
          <w:rFonts w:ascii="Calibri" w:hAnsi="Calibri"/>
          <w:i w:val="0"/>
          <w:color w:val="141B2E"/>
          <w:sz w:val="21"/>
        </w:rPr>
        <w:t xml:space="preserve"> рекомендації трохи послаблюють поріг цього сімейства.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Хибні</w:t>
      </w:r>
      <w:r>
        <w:rPr>
          <w:rFonts w:ascii="Calibri" w:hAnsi="Calibri"/>
          <w:i w:val="0"/>
          <w:color w:val="141B2E"/>
          <w:sz w:val="21"/>
        </w:rPr>
        <w:t xml:space="preserve"> рекомендації підвищують його — обмежено й з обмеженням частоти.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Слід приймати лише </w:t>
      </w:r>
      <w:r>
        <w:rPr>
          <w:rFonts w:ascii="Calibri" w:hAnsi="Calibri"/>
          <w:b/>
          <w:i w:val="0"/>
          <w:color w:val="141B2E"/>
          <w:sz w:val="21"/>
        </w:rPr>
        <w:t>автентифікований</w:t>
      </w:r>
      <w:r>
        <w:rPr>
          <w:rFonts w:ascii="Calibri" w:hAnsi="Calibri"/>
          <w:i w:val="0"/>
          <w:color w:val="141B2E"/>
          <w:sz w:val="21"/>
        </w:rPr>
        <w:t xml:space="preserve"> зворотний зв'язок оператора; позначайте походження для аудиту.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Крок 5 — куди йдуть рекомендації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Рекомендації виходять через IOutputAggregator, який створює середовище виконання. Оберіть під майданчик: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46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Агрегатор</w:t>
            </w:r>
          </w:p>
        </w:tc>
        <w:tc>
          <w:tcPr>
            <w:tcW w:type="dxa" w:w="460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Використання</w:t>
            </w:r>
          </w:p>
        </w:tc>
      </w:tr>
      <w:tr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JsonlResultAggregator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прийом у файл/SIEM, найпростіше перше розгортання</w:t>
            </w:r>
          </w:p>
        </w:tc>
      </w:tr>
      <w:tr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KafkaAdvisoryOutputAggregator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потік у корпоративну шину / історіан</w:t>
            </w:r>
          </w:p>
        </w:tc>
      </w:tr>
      <w:tr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MqttAdvisoryOutputAggregator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публікація назад у IIoT-брокер / дашборд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Кожен MaintenanceAdvisorySignal несе актив, сімейство несправності, тяжкість, оцінений запас часу, невизначеність і зрозумілу людині рекомендацію. advisoryOnly завжди true на дроті.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Крок 6 — режими розгортання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59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Режим</w:t>
            </w:r>
          </w:p>
        </w:tc>
        <w:tc>
          <w:tcPr>
            <w:tcW w:type="dxa" w:w="345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Форма</w:t>
            </w:r>
          </w:p>
        </w:tc>
        <w:tc>
          <w:tcPr>
            <w:tcW w:type="dxa" w:w="374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Коли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local</w:t>
            </w:r>
          </w:p>
        </w:tc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один вузол в одному JVM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установка, комірка, крайовий вузол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http</w:t>
            </w:r>
          </w:p>
        </w:tc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майстер + HTTP-вузли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кілька ліній, централізована координація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grpc (client/master)</w:t>
            </w:r>
          </w:p>
        </w:tc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майстер + gRPC-вузли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більші парки, менша затримка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Модель однакова в усіх режимах; змінюються лише транспорт і топологія вузлів. Почніть з local, масштабуйтеся, коли кількість активів того вимагає.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Крок 7 — безперервне навчання у продакшені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Навчання під час роботи живе у стані нейронів і зберігається в storage.json, тож переживає перезапуски без перезбирання. Рекомендована дисципліна для розвитку чогось важчого за пороги — «чемпіон/претендент»: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чемпіон</w:t>
      </w:r>
      <w:r>
        <w:rPr>
          <w:rFonts w:ascii="Calibri" w:hAnsi="Calibri"/>
          <w:i w:val="0"/>
          <w:color w:val="141B2E"/>
          <w:sz w:val="21"/>
        </w:rPr>
        <w:t xml:space="preserve"> (поточний, стабільний) видає рекомендації;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претендент</w:t>
      </w:r>
      <w:r>
        <w:rPr>
          <w:rFonts w:ascii="Calibri" w:hAnsi="Calibri"/>
          <w:i w:val="0"/>
          <w:color w:val="141B2E"/>
          <w:sz w:val="21"/>
        </w:rPr>
        <w:t xml:space="preserve"> адаптується на зібраному зворотному зв'язку в тіні;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просувайте претендента лише коли він перевершує чемпіона за </w:t>
      </w:r>
      <w:r>
        <w:rPr>
          <w:rFonts w:ascii="Calibri" w:hAnsi="Calibri"/>
          <w:b/>
          <w:i w:val="0"/>
          <w:color w:val="141B2E"/>
          <w:sz w:val="21"/>
        </w:rPr>
        <w:t>незалежними</w:t>
      </w:r>
      <w:r>
        <w:rPr>
          <w:rFonts w:ascii="Calibri" w:hAnsi="Calibri"/>
          <w:i w:val="0"/>
          <w:color w:val="141B2E"/>
          <w:sz w:val="21"/>
        </w:rPr>
        <w:t xml:space="preserve"> наслідками (реальні наряди / підтверджені відмови), і зберігайте знімок чемпіона для миттєвого відкату.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Переустановлення не потрібне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Адаптація порогів застосовується на місці через ThresholdUpdateSignal у робочий шлюз. Просування претендента — внутрішня, аудитована заміна стану, а не переустановлення JAR.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Розкатка: тінь → рекомендація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Тінь (тижні 1–n).</w:t>
      </w:r>
      <w:r>
        <w:rPr>
          <w:rFonts w:ascii="Calibri" w:hAnsi="Calibri"/>
          <w:i w:val="0"/>
          <w:color w:val="141B2E"/>
          <w:sz w:val="21"/>
        </w:rPr>
        <w:t xml:space="preserve"> Рекомендації записуються, але не показуються операторам; ви вивчаєте частку хибних спрацювань і даєте базовим рівням усталитися. Зворотний зв'язок усе одно можна збирати з реальних наслідків.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Рекомендація (запуск).</w:t>
      </w:r>
      <w:r>
        <w:rPr>
          <w:rFonts w:ascii="Calibri" w:hAnsi="Calibri"/>
          <w:i w:val="0"/>
          <w:color w:val="141B2E"/>
          <w:sz w:val="21"/>
        </w:rPr>
        <w:t xml:space="preserve"> Оператори бачать рекомендації й виносять вердикти; цикл зворотного зв'язку починає знижувати зайві тривоги.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Автономної стадії немає. Модель ніколи не виходить за межі рекомендації.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Експлуатація та моніторинг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Відстежуйте </w:t>
      </w:r>
      <w:r>
        <w:rPr>
          <w:rFonts w:ascii="Calibri" w:hAnsi="Calibri"/>
          <w:b/>
          <w:i w:val="0"/>
          <w:color w:val="141B2E"/>
          <w:sz w:val="21"/>
        </w:rPr>
        <w:t>частку хибних спрацювань за сімейством</w:t>
      </w:r>
      <w:r>
        <w:rPr>
          <w:rFonts w:ascii="Calibri" w:hAnsi="Calibri"/>
          <w:i w:val="0"/>
          <w:color w:val="141B2E"/>
          <w:sz w:val="21"/>
        </w:rPr>
        <w:t xml:space="preserve"> і переконайтесь, що вона спадає в міру накопичення зворотного зв'язку.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Слідкуйте за </w:t>
      </w:r>
      <w:r>
        <w:rPr>
          <w:rFonts w:ascii="Calibri" w:hAnsi="Calibri"/>
          <w:b/>
          <w:i w:val="0"/>
          <w:color w:val="141B2E"/>
          <w:sz w:val="21"/>
        </w:rPr>
        <w:t>зсувом домену / невизначеністю</w:t>
      </w:r>
      <w:r>
        <w:rPr>
          <w:rFonts w:ascii="Calibri" w:hAnsi="Calibri"/>
          <w:i w:val="0"/>
          <w:color w:val="141B2E"/>
          <w:sz w:val="21"/>
        </w:rPr>
        <w:t>; зростання означає, що установка відійшла від навчального вікна — заплануйте перепасування (посібник з навчання).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Робіть знімки збереженого стану нейронів за розкладом, щоб просування можна було відкотити.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Сигналізуйте про скорочення </w:t>
      </w:r>
      <w:r>
        <w:rPr>
          <w:rFonts w:ascii="Calibri" w:hAnsi="Calibri"/>
          <w:b/>
          <w:i w:val="0"/>
          <w:color w:val="141B2E"/>
          <w:sz w:val="21"/>
        </w:rPr>
        <w:t>запасу часу виявлення</w:t>
      </w:r>
      <w:r>
        <w:rPr>
          <w:rFonts w:ascii="Calibri" w:hAnsi="Calibri"/>
          <w:i w:val="0"/>
          <w:color w:val="141B2E"/>
          <w:sz w:val="21"/>
        </w:rPr>
        <w:t xml:space="preserve"> — рекомендації, що спрацьовують надто близько до відмови, натякають на потребу уваги до тренду чи порогів.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Контрольний список безпеки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advisoryOnly дорівнює true й не може бути вимкнено (інваріант SsMaintConfig).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Жоден вихідний шлях не сягає виконавчого механізму; блокування й жорсткий шлюз безпеки поза цією моделлю.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Зворотний зв'язок автентифіковано й позначено походженням; адаптація замерзає під час зсуву домену.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Збережений стан має знімки; просування претендентів аудитуються й оборотні.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13  </w:t>
      </w:r>
      <w:r>
        <w:rPr>
          <w:rFonts w:ascii="Calibri" w:hAnsi="Calibri"/>
          <w:b/>
          <w:color w:val="102A54"/>
          <w:sz w:val="34"/>
        </w:rPr>
        <w:t>Усунення несправностей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73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Симптом</w:t>
            </w:r>
          </w:p>
        </w:tc>
        <w:tc>
          <w:tcPr>
            <w:tcW w:type="dxa" w:w="331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Ймовірна причина</w:t>
            </w:r>
          </w:p>
        </w:tc>
        <w:tc>
          <w:tcPr>
            <w:tcW w:type="dxa" w:w="360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Виправлення</w:t>
            </w:r>
          </w:p>
        </w:tc>
      </w:tr>
      <w:tr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Швидке падіння на старті</w:t>
            </w:r>
          </w:p>
        </w:tc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невідповідність neuronnet.classes / збірки</w:t>
            </w:r>
          </w:p>
        </w:tc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Перегенерувати збірку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Залишки безглузді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неправильне зіставлення тег→сенсор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Узгодити з sensorOrder шару 1</w:t>
            </w:r>
          </w:p>
        </w:tc>
      </w:tr>
      <w:tr>
        <w:tc>
          <w:tcPr>
            <w:tcW w:type="dxa" w:w="27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Пороги не рухаються</w:t>
            </w:r>
          </w:p>
        </w:tc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зворотний зв'язок не надходить / заморожено</w:t>
            </w:r>
          </w:p>
        </w:tc>
        <w:tc>
          <w:tcPr>
            <w:tcW w:type="dxa" w:w="36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Перевірити підключення й зсув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Навчання втрачено при перезапуску</w:t>
            </w:r>
          </w:p>
        </w:tc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стан не збережено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Задати записуване storage.json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Розгорніть у тіні, підключіть зворотний зв'язок, дивіться, як частка хибних спрацювань спадає — і ніколи не виводьте це за межі рекомендації. Шар безпеки детермінований і живе поза моделлю, як і має бути.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Self-Supervised Maintenance Guardian · Прогнозне обслуговування без міток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