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SELF-SUPERVISED MAINTENANCE GUARDIAN</w:t>
            </w:r>
          </w:p>
          <w:p>
            <w:pPr>
              <w:spacing w:after="40"/>
            </w:pPr>
            <w:r>
              <w:rPr>
                <w:rFonts w:ascii="Calibri" w:hAnsi="Calibri"/>
                <w:color w:val="B9C6DA"/>
                <w:sz w:val="18"/>
              </w:rPr>
              <w:t>DEPLOYMENT GUIDE</w:t>
            </w:r>
          </w:p>
        </w:tc>
      </w:tr>
    </w:tbl>
    <w:p>
      <w:pPr>
        <w:spacing w:after="0" w:before="0"/>
      </w:pPr>
      <w:r>
        <w:rPr>
          <w:sz w:val="40"/>
        </w:rPr>
      </w:r>
    </w:p>
    <w:p>
      <w:pPr>
        <w:spacing w:after="80"/>
      </w:pPr>
      <w:r>
        <w:rPr>
          <w:rFonts w:ascii="Calibri" w:hAnsi="Calibri"/>
          <w:b/>
          <w:color w:val="102A54"/>
          <w:sz w:val="60"/>
        </w:rPr>
        <w:t>Setup &amp; Deployment Guide</w:t>
      </w:r>
    </w:p>
    <w:p>
      <w:pPr>
        <w:spacing w:after="200"/>
      </w:pPr>
      <w:r>
        <w:rPr>
          <w:rFonts w:ascii="Calibri" w:hAnsi="Calibri"/>
          <w:color w:val="1C5D99"/>
          <w:sz w:val="28"/>
        </w:rPr>
        <w:t>Load the label-free network, wire telemetry and operator feedback, and run the advisory scorer in production</w:t>
      </w:r>
    </w:p>
    <w:p>
      <w:pPr>
        <w:pBdr>
          <w:bottom w:val="single" w:sz="10" w:space="4" w:color="0E7C86"/>
        </w:pBdr>
      </w:pPr>
    </w:p>
    <w:p>
      <w:pPr>
        <w:spacing w:after="0" w:before="0"/>
      </w:pPr>
      <w:r>
        <w:rPr>
          <w:sz w:val="16"/>
        </w:rPr>
      </w:r>
    </w:p>
    <w:p>
      <w:pPr>
        <w:spacing w:after="120"/>
      </w:pPr>
      <w:r>
        <w:rPr>
          <w:rFonts w:ascii="Calibri" w:hAnsi="Calibri"/>
          <w:i/>
          <w:color w:val="555F70"/>
          <w:sz w:val="23"/>
        </w:rPr>
        <w:t>The production runbook: how the Entry runner loads the emitted bundle, how to configure telemetry inputs and the feedback channel, how advisories leave the system, how continuous learning runs without a redeploy, and the safety gates you must keep in place.</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Setup &amp; Deployment Guide</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Self-Supervised Maintenance Guardian</w:t>
            </w:r>
          </w:p>
        </w:tc>
      </w:tr>
      <w:tr>
        <w:tc>
          <w:tcPr>
            <w:tcW w:type="dxa" w:w="4586"/>
            <w:tcMar>
              <w:top w:w="40" w:type="dxa"/>
              <w:bottom w:w="40" w:type="dxa"/>
              <w:start w:w="0" w:type="dxa"/>
              <w:end w:w="120" w:type="dxa"/>
            </w:tcMar>
          </w:tcPr>
          <w:p>
            <w:pPr>
              <w:spacing w:after="0"/>
            </w:pPr>
            <w:r>
              <w:rPr>
                <w:rFonts w:ascii="Calibri" w:hAnsi="Calibri"/>
                <w:b/>
                <w:color w:val="555F70"/>
                <w:sz w:val="19"/>
              </w:rPr>
              <w:t>Entry point</w:t>
            </w:r>
          </w:p>
        </w:tc>
        <w:tc>
          <w:tcPr>
            <w:tcW w:type="dxa" w:w="4586"/>
            <w:tcMar>
              <w:top w:w="40" w:type="dxa"/>
              <w:bottom w:w="40" w:type="dxa"/>
              <w:start w:w="0" w:type="dxa"/>
              <w:end w:w="0" w:type="dxa"/>
            </w:tcMar>
          </w:tcPr>
          <w:p>
            <w:pPr>
              <w:spacing w:after="0"/>
            </w:pPr>
            <w:r>
              <w:rPr>
                <w:rFonts w:ascii="Calibri" w:hAnsi="Calibri"/>
                <w:color w:val="141B2E"/>
                <w:sz w:val="19"/>
              </w:rPr>
              <w:t>com.rakovpublic.jneuropallium.worker.application.Entry</w:t>
            </w:r>
          </w:p>
        </w:tc>
      </w:tr>
      <w:tr>
        <w:tc>
          <w:tcPr>
            <w:tcW w:type="dxa" w:w="4586"/>
            <w:tcMar>
              <w:top w:w="40" w:type="dxa"/>
              <w:bottom w:w="40" w:type="dxa"/>
              <w:start w:w="0" w:type="dxa"/>
              <w:end w:w="120" w:type="dxa"/>
            </w:tcMar>
          </w:tcPr>
          <w:p>
            <w:pPr>
              <w:spacing w:after="0"/>
            </w:pPr>
            <w:r>
              <w:rPr>
                <w:rFonts w:ascii="Calibri" w:hAnsi="Calibri"/>
                <w:b/>
                <w:color w:val="555F70"/>
                <w:sz w:val="19"/>
              </w:rPr>
              <w:t>Bundle</w:t>
            </w:r>
          </w:p>
        </w:tc>
        <w:tc>
          <w:tcPr>
            <w:tcW w:type="dxa" w:w="4586"/>
            <w:tcMar>
              <w:top w:w="40" w:type="dxa"/>
              <w:bottom w:w="40" w:type="dxa"/>
              <w:start w:w="0" w:type="dxa"/>
              <w:end w:w="0" w:type="dxa"/>
            </w:tcMar>
          </w:tcPr>
          <w:p>
            <w:pPr>
              <w:spacing w:after="0"/>
            </w:pPr>
            <w:r>
              <w:rPr>
                <w:rFonts w:ascii="Calibri" w:hAnsi="Calibri"/>
                <w:color w:val="141B2E"/>
                <w:sz w:val="19"/>
              </w:rPr>
              <w:t>model/self-supervised-maintenance</w:t>
            </w:r>
          </w:p>
        </w:tc>
      </w:tr>
      <w:tr>
        <w:tc>
          <w:tcPr>
            <w:tcW w:type="dxa" w:w="4586"/>
            <w:tcMar>
              <w:top w:w="40" w:type="dxa"/>
              <w:bottom w:w="40" w:type="dxa"/>
              <w:start w:w="0" w:type="dxa"/>
              <w:end w:w="120" w:type="dxa"/>
            </w:tcMar>
          </w:tcPr>
          <w:p>
            <w:pPr>
              <w:spacing w:after="0"/>
            </w:pPr>
            <w:r>
              <w:rPr>
                <w:rFonts w:ascii="Calibri" w:hAnsi="Calibri"/>
                <w:b/>
                <w:color w:val="555F70"/>
                <w:sz w:val="19"/>
              </w:rPr>
              <w:t>Modes</w:t>
            </w:r>
          </w:p>
        </w:tc>
        <w:tc>
          <w:tcPr>
            <w:tcW w:type="dxa" w:w="4586"/>
            <w:tcMar>
              <w:top w:w="40" w:type="dxa"/>
              <w:bottom w:w="40" w:type="dxa"/>
              <w:start w:w="0" w:type="dxa"/>
              <w:end w:w="0" w:type="dxa"/>
            </w:tcMar>
          </w:tcPr>
          <w:p>
            <w:pPr>
              <w:spacing w:after="0"/>
            </w:pPr>
            <w:r>
              <w:rPr>
                <w:rFonts w:ascii="Calibri" w:hAnsi="Calibri"/>
                <w:color w:val="141B2E"/>
                <w:sz w:val="19"/>
              </w:rPr>
              <w:t>local · http · grpc</w:t>
            </w:r>
          </w:p>
        </w:tc>
      </w:tr>
      <w:tr>
        <w:tc>
          <w:tcPr>
            <w:tcW w:type="dxa" w:w="4586"/>
            <w:tcMar>
              <w:top w:w="40" w:type="dxa"/>
              <w:bottom w:w="40" w:type="dxa"/>
              <w:start w:w="0" w:type="dxa"/>
              <w:end w:w="120" w:type="dxa"/>
            </w:tcMar>
          </w:tcPr>
          <w:p>
            <w:pPr>
              <w:spacing w:after="0"/>
            </w:pPr>
            <w:r>
              <w:rPr>
                <w:rFonts w:ascii="Calibri" w:hAnsi="Calibri"/>
                <w:b/>
                <w:color w:val="555F70"/>
                <w:sz w:val="19"/>
              </w:rPr>
              <w:t>Safety</w:t>
            </w:r>
          </w:p>
        </w:tc>
        <w:tc>
          <w:tcPr>
            <w:tcW w:type="dxa" w:w="4586"/>
            <w:tcMar>
              <w:top w:w="40" w:type="dxa"/>
              <w:bottom w:w="40" w:type="dxa"/>
              <w:start w:w="0" w:type="dxa"/>
              <w:end w:w="0" w:type="dxa"/>
            </w:tcMar>
          </w:tcPr>
          <w:p>
            <w:pPr>
              <w:spacing w:after="0"/>
            </w:pPr>
            <w:r>
              <w:rPr>
                <w:rFonts w:ascii="Calibri" w:hAnsi="Calibri"/>
                <w:color w:val="141B2E"/>
                <w:sz w:val="19"/>
              </w:rPr>
              <w:t>ADVISORY / read-only</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 July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0E7C86"/>
        </w:pBdr>
      </w:pPr>
      <w:r>
        <w:rPr>
          <w:rFonts w:ascii="Calibri" w:hAnsi="Calibri"/>
          <w:b/>
          <w:color w:val="102A54"/>
          <w:sz w:val="34"/>
        </w:rPr>
        <w:t>Contents</w:t>
      </w:r>
    </w:p>
    <w:p>
      <w:pPr>
        <w:spacing w:after="80"/>
        <w:ind w:left="144"/>
      </w:pPr>
      <w:r>
        <w:rPr>
          <w:rFonts w:ascii="Calibri" w:hAnsi="Calibri"/>
          <w:b/>
          <w:color w:val="0E7C86"/>
          <w:sz w:val="21"/>
        </w:rPr>
        <w:t xml:space="preserve"> 1.  </w:t>
      </w:r>
      <w:r>
        <w:rPr>
          <w:rFonts w:ascii="Calibri" w:hAnsi="Calibri"/>
          <w:color w:val="141B2E"/>
          <w:sz w:val="21"/>
        </w:rPr>
        <w:t>What you are deploying</w:t>
      </w:r>
    </w:p>
    <w:p>
      <w:pPr>
        <w:spacing w:after="80"/>
        <w:ind w:left="144"/>
      </w:pPr>
      <w:r>
        <w:rPr>
          <w:rFonts w:ascii="Calibri" w:hAnsi="Calibri"/>
          <w:b/>
          <w:color w:val="0E7C86"/>
          <w:sz w:val="21"/>
        </w:rPr>
        <w:t xml:space="preserve"> 2.  </w:t>
      </w:r>
      <w:r>
        <w:rPr>
          <w:rFonts w:ascii="Calibri" w:hAnsi="Calibri"/>
          <w:color w:val="141B2E"/>
          <w:sz w:val="21"/>
        </w:rPr>
        <w:t>Prerequisites</w:t>
      </w:r>
    </w:p>
    <w:p>
      <w:pPr>
        <w:spacing w:after="80"/>
        <w:ind w:left="144"/>
      </w:pPr>
      <w:r>
        <w:rPr>
          <w:rFonts w:ascii="Calibri" w:hAnsi="Calibri"/>
          <w:b/>
          <w:color w:val="0E7C86"/>
          <w:sz w:val="21"/>
        </w:rPr>
        <w:t xml:space="preserve"> 3.  </w:t>
      </w:r>
      <w:r>
        <w:rPr>
          <w:rFonts w:ascii="Calibri" w:hAnsi="Calibri"/>
          <w:color w:val="141B2E"/>
          <w:sz w:val="21"/>
        </w:rPr>
        <w:t>Step 1 — the bundle and the IContext</w:t>
      </w:r>
    </w:p>
    <w:p>
      <w:pPr>
        <w:spacing w:after="80"/>
        <w:ind w:left="144"/>
      </w:pPr>
      <w:r>
        <w:rPr>
          <w:rFonts w:ascii="Calibri" w:hAnsi="Calibri"/>
          <w:b/>
          <w:color w:val="0E7C86"/>
          <w:sz w:val="21"/>
        </w:rPr>
        <w:t xml:space="preserve"> 4.  </w:t>
      </w:r>
      <w:r>
        <w:rPr>
          <w:rFonts w:ascii="Calibri" w:hAnsi="Calibri"/>
          <w:color w:val="141B2E"/>
          <w:sz w:val="21"/>
        </w:rPr>
        <w:t>Step 2 — run the Entry point</w:t>
      </w:r>
    </w:p>
    <w:p>
      <w:pPr>
        <w:spacing w:after="80"/>
        <w:ind w:left="144"/>
      </w:pPr>
      <w:r>
        <w:rPr>
          <w:rFonts w:ascii="Calibri" w:hAnsi="Calibri"/>
          <w:b/>
          <w:color w:val="0E7C86"/>
          <w:sz w:val="21"/>
        </w:rPr>
        <w:t xml:space="preserve"> 5.  </w:t>
      </w:r>
      <w:r>
        <w:rPr>
          <w:rFonts w:ascii="Calibri" w:hAnsi="Calibri"/>
          <w:color w:val="141B2E"/>
          <w:sz w:val="21"/>
        </w:rPr>
        <w:t>Step 3 — wire telemetry inputs</w:t>
      </w:r>
    </w:p>
    <w:p>
      <w:pPr>
        <w:spacing w:after="80"/>
        <w:ind w:left="144"/>
      </w:pPr>
      <w:r>
        <w:rPr>
          <w:rFonts w:ascii="Calibri" w:hAnsi="Calibri"/>
          <w:b/>
          <w:color w:val="0E7C86"/>
          <w:sz w:val="21"/>
        </w:rPr>
        <w:t xml:space="preserve"> 6.  </w:t>
      </w:r>
      <w:r>
        <w:rPr>
          <w:rFonts w:ascii="Calibri" w:hAnsi="Calibri"/>
          <w:color w:val="141B2E"/>
          <w:sz w:val="21"/>
        </w:rPr>
        <w:t>Step 4 — wire the feedback channel</w:t>
      </w:r>
    </w:p>
    <w:p>
      <w:pPr>
        <w:spacing w:after="80"/>
        <w:ind w:left="144"/>
      </w:pPr>
      <w:r>
        <w:rPr>
          <w:rFonts w:ascii="Calibri" w:hAnsi="Calibri"/>
          <w:b/>
          <w:color w:val="0E7C86"/>
          <w:sz w:val="21"/>
        </w:rPr>
        <w:t xml:space="preserve"> 7.  </w:t>
      </w:r>
      <w:r>
        <w:rPr>
          <w:rFonts w:ascii="Calibri" w:hAnsi="Calibri"/>
          <w:color w:val="141B2E"/>
          <w:sz w:val="21"/>
        </w:rPr>
        <w:t>Step 5 — where advisories go</w:t>
      </w:r>
    </w:p>
    <w:p>
      <w:pPr>
        <w:spacing w:after="80"/>
        <w:ind w:left="144"/>
      </w:pPr>
      <w:r>
        <w:rPr>
          <w:rFonts w:ascii="Calibri" w:hAnsi="Calibri"/>
          <w:b/>
          <w:color w:val="0E7C86"/>
          <w:sz w:val="21"/>
        </w:rPr>
        <w:t xml:space="preserve"> 8.  </w:t>
      </w:r>
      <w:r>
        <w:rPr>
          <w:rFonts w:ascii="Calibri" w:hAnsi="Calibri"/>
          <w:color w:val="141B2E"/>
          <w:sz w:val="21"/>
        </w:rPr>
        <w:t>Step 6 — deployment modes</w:t>
      </w:r>
    </w:p>
    <w:p>
      <w:pPr>
        <w:spacing w:after="80"/>
        <w:ind w:left="144"/>
      </w:pPr>
      <w:r>
        <w:rPr>
          <w:rFonts w:ascii="Calibri" w:hAnsi="Calibri"/>
          <w:b/>
          <w:color w:val="0E7C86"/>
          <w:sz w:val="21"/>
        </w:rPr>
        <w:t xml:space="preserve"> 9.  </w:t>
      </w:r>
      <w:r>
        <w:rPr>
          <w:rFonts w:ascii="Calibri" w:hAnsi="Calibri"/>
          <w:color w:val="141B2E"/>
          <w:sz w:val="21"/>
        </w:rPr>
        <w:t>Step 7 — continuous learning in production</w:t>
      </w:r>
    </w:p>
    <w:p>
      <w:pPr>
        <w:spacing w:after="80"/>
        <w:ind w:left="144"/>
      </w:pPr>
      <w:r>
        <w:rPr>
          <w:rFonts w:ascii="Calibri" w:hAnsi="Calibri"/>
          <w:b/>
          <w:color w:val="0E7C86"/>
          <w:sz w:val="21"/>
        </w:rPr>
        <w:t xml:space="preserve">10.  </w:t>
      </w:r>
      <w:r>
        <w:rPr>
          <w:rFonts w:ascii="Calibri" w:hAnsi="Calibri"/>
          <w:color w:val="141B2E"/>
          <w:sz w:val="21"/>
        </w:rPr>
        <w:t>Rollout: shadow → advisory</w:t>
      </w:r>
    </w:p>
    <w:p>
      <w:pPr>
        <w:spacing w:after="80"/>
        <w:ind w:left="144"/>
      </w:pPr>
      <w:r>
        <w:rPr>
          <w:rFonts w:ascii="Calibri" w:hAnsi="Calibri"/>
          <w:b/>
          <w:color w:val="0E7C86"/>
          <w:sz w:val="21"/>
        </w:rPr>
        <w:t xml:space="preserve">11.  </w:t>
      </w:r>
      <w:r>
        <w:rPr>
          <w:rFonts w:ascii="Calibri" w:hAnsi="Calibri"/>
          <w:color w:val="141B2E"/>
          <w:sz w:val="21"/>
        </w:rPr>
        <w:t>Operations and monitoring</w:t>
      </w:r>
    </w:p>
    <w:p>
      <w:pPr>
        <w:spacing w:after="80"/>
        <w:ind w:left="144"/>
      </w:pPr>
      <w:r>
        <w:rPr>
          <w:rFonts w:ascii="Calibri" w:hAnsi="Calibri"/>
          <w:b/>
          <w:color w:val="0E7C86"/>
          <w:sz w:val="21"/>
        </w:rPr>
        <w:t xml:space="preserve">12.  </w:t>
      </w:r>
      <w:r>
        <w:rPr>
          <w:rFonts w:ascii="Calibri" w:hAnsi="Calibri"/>
          <w:color w:val="141B2E"/>
          <w:sz w:val="21"/>
        </w:rPr>
        <w:t>Safety checklist</w:t>
      </w:r>
    </w:p>
    <w:p>
      <w:pPr>
        <w:spacing w:after="80"/>
        <w:ind w:left="144"/>
      </w:pPr>
      <w:r>
        <w:rPr>
          <w:rFonts w:ascii="Calibri" w:hAnsi="Calibri"/>
          <w:b/>
          <w:color w:val="0E7C86"/>
          <w:sz w:val="21"/>
        </w:rPr>
        <w:t xml:space="preserve">13.  </w:t>
      </w:r>
      <w:r>
        <w:rPr>
          <w:rFonts w:ascii="Calibri" w:hAnsi="Calibri"/>
          <w:color w:val="141B2E"/>
          <w:sz w:val="21"/>
        </w:rPr>
        <w:t>Troubleshooting</w:t>
      </w:r>
    </w:p>
    <w:p>
      <w:r>
        <w:br w:type="page"/>
      </w:r>
    </w:p>
    <w:p>
      <w:pPr>
        <w:keepNext/>
        <w:spacing w:before="320" w:after="40"/>
        <w:pBdr>
          <w:bottom w:val="single" w:sz="10" w:space="4" w:color="0E7C86"/>
        </w:pBdr>
      </w:pPr>
      <w:r>
        <w:rPr>
          <w:rFonts w:ascii="Calibri" w:hAnsi="Calibri"/>
          <w:b/>
          <w:color w:val="0E7C86"/>
          <w:sz w:val="34"/>
        </w:rPr>
        <w:t xml:space="preserve">1  </w:t>
      </w:r>
      <w:r>
        <w:rPr>
          <w:rFonts w:ascii="Calibri" w:hAnsi="Calibri"/>
          <w:b/>
          <w:color w:val="102A54"/>
          <w:sz w:val="34"/>
        </w:rPr>
        <w:t>What you are deploying</w:t>
      </w:r>
    </w:p>
    <w:p>
      <w:pPr>
        <w:spacing w:after="120"/>
      </w:pPr>
      <w:r>
        <w:rPr>
          <w:rFonts w:ascii="Calibri" w:hAnsi="Calibri"/>
          <w:i w:val="0"/>
          <w:color w:val="141B2E"/>
          <w:sz w:val="21"/>
        </w:rPr>
        <w:t>A running Jneopallium worker that ingests asset telemetry, scores each frame through the label-free maintenance network, and emits read-only advisories with a fault family and a lead time. It also consumes operator feedback and adapts its own alert thresholds in place — no restart, no redeploy. It never actuates a device.</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The one rule that never changes</w:t>
            </w:r>
          </w:p>
          <w:p>
            <w:pPr>
              <w:spacing w:after="0"/>
            </w:pPr>
            <w:r>
              <w:rPr>
                <w:rFonts w:ascii="Calibri" w:hAnsi="Calibri"/>
                <w:i w:val="0"/>
                <w:color w:val="141B2E"/>
                <w:sz w:val="20"/>
              </w:rPr>
              <w:t>This model is advisory. It recommends inspection; it does not schedule work, trip an interlock, or move an actuator. The hard safety layer stays entirely outside the learned path.</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2  </w:t>
      </w:r>
      <w:r>
        <w:rPr>
          <w:rFonts w:ascii="Calibri" w:hAnsi="Calibri"/>
          <w:b/>
          <w:color w:val="102A54"/>
          <w:sz w:val="34"/>
        </w:rPr>
        <w:t>Prerequisites</w:t>
      </w:r>
    </w:p>
    <w:p>
      <w:pPr>
        <w:pStyle w:val="ListBullet"/>
        <w:spacing w:after="60" w:line="269" w:lineRule="auto"/>
        <w:ind w:left="403"/>
      </w:pPr>
      <w:r>
        <w:rPr>
          <w:rFonts w:ascii="Calibri" w:hAnsi="Calibri"/>
          <w:i w:val="0"/>
          <w:color w:val="141B2E"/>
          <w:sz w:val="21"/>
        </w:rPr>
        <w:t>JDK 17 and the built worker artifact (worker-1.0-SNAPSHOT.jar) or your packaged model JAR.</w:t>
      </w:r>
    </w:p>
    <w:p>
      <w:pPr>
        <w:pStyle w:val="ListBullet"/>
        <w:spacing w:after="60" w:line="269" w:lineRule="auto"/>
        <w:ind w:left="403"/>
      </w:pPr>
      <w:r>
        <w:rPr>
          <w:rFonts w:ascii="Calibri" w:hAnsi="Calibri"/>
          <w:i w:val="0"/>
          <w:color w:val="141B2E"/>
          <w:sz w:val="21"/>
        </w:rPr>
        <w:t>The trained bundle from the Training Guide under model/self-supervised-maintenance/.</w:t>
      </w:r>
    </w:p>
    <w:p>
      <w:pPr>
        <w:pStyle w:val="ListBullet"/>
        <w:spacing w:after="60" w:line="269" w:lineRule="auto"/>
        <w:ind w:left="403"/>
      </w:pPr>
      <w:r>
        <w:rPr>
          <w:rFonts w:ascii="Calibri" w:hAnsi="Calibri"/>
          <w:i w:val="0"/>
          <w:color w:val="141B2E"/>
          <w:sz w:val="21"/>
        </w:rPr>
        <w:t>A telemetry source (OPC UA or MQTT) and, for learning, a feedback source (the UI/CMMS event the operator marks).</w:t>
      </w:r>
    </w:p>
    <w:p>
      <w:pPr>
        <w:pStyle w:val="ListBullet"/>
        <w:spacing w:after="60" w:line="269" w:lineRule="auto"/>
        <w:ind w:left="403"/>
      </w:pPr>
      <w:r>
        <w:rPr>
          <w:rFonts w:ascii="Calibri" w:hAnsi="Calibri"/>
          <w:i w:val="0"/>
          <w:color w:val="141B2E"/>
          <w:sz w:val="21"/>
        </w:rPr>
        <w:t>Writable storage for persisted neuron state (so learning survives restarts).</w:t>
      </w:r>
    </w:p>
    <w:p>
      <w:pPr>
        <w:keepNext/>
        <w:spacing w:before="320" w:after="40"/>
        <w:pBdr>
          <w:bottom w:val="single" w:sz="10" w:space="4" w:color="0E7C86"/>
        </w:pBdr>
      </w:pPr>
      <w:r>
        <w:rPr>
          <w:rFonts w:ascii="Calibri" w:hAnsi="Calibri"/>
          <w:b/>
          <w:color w:val="0E7C86"/>
          <w:sz w:val="34"/>
        </w:rPr>
        <w:t xml:space="preserve">3  </w:t>
      </w:r>
      <w:r>
        <w:rPr>
          <w:rFonts w:ascii="Calibri" w:hAnsi="Calibri"/>
          <w:b/>
          <w:color w:val="102A54"/>
          <w:sz w:val="34"/>
        </w:rPr>
        <w:t>Step 1 — the bundle and the IContext</w:t>
      </w:r>
    </w:p>
    <w:p>
      <w:pPr>
        <w:spacing w:after="120"/>
      </w:pPr>
      <w:r>
        <w:rPr>
          <w:rFonts w:ascii="Calibri" w:hAnsi="Calibri"/>
          <w:i w:val="0"/>
          <w:color w:val="141B2E"/>
          <w:sz w:val="21"/>
        </w:rPr>
        <w:t>The deployable model is the bundle directory. production-context.json is the IContext the runner deserializes; its key entries: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464"/>
            <w:shd w:val="clear" w:color="auto" w:fill="0E7C86"/>
            <w:tcMar>
              <w:top w:w="60" w:type="dxa"/>
              <w:bottom w:w="60" w:type="dxa"/>
              <w:start w:w="110" w:type="dxa"/>
              <w:end w:w="110" w:type="dxa"/>
            </w:tcMar>
            <w:vAlign w:val="center"/>
          </w:tcPr>
          <w:p>
            <w:pPr>
              <w:spacing w:after="0"/>
            </w:pPr>
            <w:r>
              <w:rPr>
                <w:rFonts w:ascii="Calibri" w:hAnsi="Calibri"/>
                <w:b/>
                <w:color w:val="FFFFFF"/>
                <w:sz w:val="19"/>
              </w:rPr>
              <w:t>IContext key</w:t>
            </w:r>
          </w:p>
        </w:tc>
        <w:tc>
          <w:tcPr>
            <w:tcW w:type="dxa" w:w="4608"/>
            <w:shd w:val="clear" w:color="auto" w:fill="0E7C86"/>
            <w:tcMar>
              <w:top w:w="60" w:type="dxa"/>
              <w:bottom w:w="60" w:type="dxa"/>
              <w:start w:w="110" w:type="dxa"/>
              <w:end w:w="110" w:type="dxa"/>
            </w:tcMar>
            <w:vAlign w:val="center"/>
          </w:tcPr>
          <w:p>
            <w:pPr>
              <w:spacing w:after="0"/>
            </w:pPr>
            <w:r>
              <w:rPr>
                <w:rFonts w:ascii="Calibri" w:hAnsi="Calibri"/>
                <w:b/>
                <w:color w:val="FFFFFF"/>
                <w:sz w:val="19"/>
              </w:rPr>
              <w:t>Value / meaning</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configuration.input.layermeta</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five layers (0–4)</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neuronnet.classes</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four ssmaint neuron classes (validated at startup)</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input.inputs</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AssetTelemetrySignal source (OPC UA / MQTT)</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outputAggregator</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where advisories are written (JSONL / Kafka / MQTT)</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storage.json</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model/self-supervised-maintenance (persisted state)</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processing.frequency.map / slowfast.ratio</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fast telemetry vs slow feedback cadence</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isteacherstudying=false, discriminatorsAmount=0, infiniteRun=true</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 inference loop</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safetyMode / advisoryOnly</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 / true — enforced</w:t>
            </w:r>
          </w:p>
        </w:tc>
      </w:tr>
    </w:tbl>
    <w:p>
      <w:pPr>
        <w:spacing w:after="0" w:before="0"/>
      </w:pPr>
      <w:r>
        <w:rPr>
          <w:sz w:val="12"/>
        </w:rPr>
      </w:r>
    </w:p>
    <w:p>
      <w:pPr>
        <w:spacing w:after="120"/>
      </w:pPr>
      <w:r>
        <w:rPr>
          <w:rFonts w:ascii="Calibri" w:hAnsi="Calibri"/>
          <w:i w:val="0"/>
          <w:color w:val="141B2E"/>
          <w:sz w:val="21"/>
        </w:rPr>
        <w:t>The runner validates neuronnet.classes at startup and fails fast if a class is missing — so a misconfigured bundle never half-starts.</w:t>
      </w:r>
    </w:p>
    <w:p>
      <w:pPr>
        <w:keepNext/>
        <w:spacing w:before="320" w:after="40"/>
        <w:pBdr>
          <w:bottom w:val="single" w:sz="10" w:space="4" w:color="0E7C86"/>
        </w:pBdr>
      </w:pPr>
      <w:r>
        <w:rPr>
          <w:rFonts w:ascii="Calibri" w:hAnsi="Calibri"/>
          <w:b/>
          <w:color w:val="0E7C86"/>
          <w:sz w:val="34"/>
        </w:rPr>
        <w:t xml:space="preserve">4  </w:t>
      </w:r>
      <w:r>
        <w:rPr>
          <w:rFonts w:ascii="Calibri" w:hAnsi="Calibri"/>
          <w:b/>
          <w:color w:val="102A54"/>
          <w:sz w:val="34"/>
        </w:rPr>
        <w:t>Step 2 — run the Entry point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-cp worker-1.0-SNAPSHOT.jar \</w:t>
            </w:r>
          </w:p>
          <w:p>
            <w:pPr>
              <w:spacing w:after="0" w:line="254" w:lineRule="auto"/>
            </w:pPr>
            <w:r>
              <w:rPr>
                <w:rFonts w:ascii="Consolas" w:hAnsi="Consolas"/>
                <w:color w:val="D6E7C8"/>
                <w:sz w:val="18"/>
              </w:rPr>
              <w:t xml:space="preserve">  com.rakovpublic.jneuropallium.worker.application.Entry \</w:t>
            </w:r>
          </w:p>
          <w:p>
            <w:pPr>
              <w:spacing w:after="0" w:line="254" w:lineRule="auto"/>
            </w:pPr>
            <w:r>
              <w:rPr>
                <w:rFonts w:ascii="Consolas" w:hAnsi="Consolas"/>
                <w:color w:val="D6E7C8"/>
                <w:sz w:val="18"/>
              </w:rPr>
              <w:t xml:space="preserve">  local &lt;model-jar-url&gt; &lt;IContext-class&gt; \</w:t>
            </w:r>
          </w:p>
          <w:p>
            <w:pPr>
              <w:spacing w:after="0" w:line="254" w:lineRule="auto"/>
            </w:pPr>
            <w:r>
              <w:rPr>
                <w:rFonts w:ascii="Consolas" w:hAnsi="Consolas"/>
                <w:color w:val="D6E7C8"/>
                <w:sz w:val="18"/>
              </w:rPr>
              <w:t xml:space="preserve">  worker/src/main/resources/model/self-supervised-maintenance/production-context.json</w:t>
            </w:r>
          </w:p>
        </w:tc>
      </w:tr>
    </w:tbl>
    <w:p>
      <w:pPr>
        <w:spacing w:after="0" w:before="0"/>
      </w:pPr>
      <w:r>
        <w:rPr>
          <w:sz w:val="8"/>
        </w:rPr>
      </w:r>
    </w:p>
    <w:p>
      <w:pPr>
        <w:spacing w:after="120"/>
      </w:pPr>
      <w:r>
        <w:rPr>
          <w:rFonts w:ascii="Calibri" w:hAnsi="Calibri"/>
          <w:i w:val="0"/>
          <w:color w:val="141B2E"/>
          <w:sz w:val="21"/>
        </w:rPr>
        <w:t>The Runner deserializes the IContext, loads your model JAR via the JAR class loader, selects the IApplication for the chosen mode, and begins the inference loop. From here it is telemetry in, advisories out.</w:t>
      </w:r>
    </w:p>
    <w:p>
      <w:pPr>
        <w:keepNext/>
        <w:spacing w:before="320" w:after="40"/>
        <w:pBdr>
          <w:bottom w:val="single" w:sz="10" w:space="4" w:color="0E7C86"/>
        </w:pBdr>
      </w:pPr>
      <w:r>
        <w:rPr>
          <w:rFonts w:ascii="Calibri" w:hAnsi="Calibri"/>
          <w:b/>
          <w:color w:val="0E7C86"/>
          <w:sz w:val="34"/>
        </w:rPr>
        <w:t xml:space="preserve">5  </w:t>
      </w:r>
      <w:r>
        <w:rPr>
          <w:rFonts w:ascii="Calibri" w:hAnsi="Calibri"/>
          <w:b/>
          <w:color w:val="102A54"/>
          <w:sz w:val="34"/>
        </w:rPr>
        <w:t>Step 3 — wire telemetry inputs</w:t>
      </w:r>
    </w:p>
    <w:p>
      <w:pPr>
        <w:spacing w:after="120"/>
      </w:pPr>
      <w:r>
        <w:rPr>
          <w:rFonts w:ascii="Calibri" w:hAnsi="Calibri"/>
          <w:i w:val="0"/>
          <w:color w:val="141B2E"/>
          <w:sz w:val="21"/>
        </w:rPr>
        <w:t>Map each asset's live tags to an AssetTelemetrySignal per tick: the eight sensor channels plus the operating-regime integer. Use the standard industrial inputs:</w:t>
      </w:r>
    </w:p>
    <w:p>
      <w:pPr>
        <w:pStyle w:val="ListBullet"/>
        <w:spacing w:after="60" w:line="269" w:lineRule="auto"/>
        <w:ind w:left="403"/>
      </w:pPr>
      <w:r>
        <w:rPr>
          <w:rFonts w:ascii="Calibri" w:hAnsi="Calibri"/>
          <w:b/>
          <w:i w:val="0"/>
          <w:color w:val="141B2E"/>
          <w:sz w:val="21"/>
        </w:rPr>
        <w:t>OPC UA</w:t>
      </w:r>
      <w:r>
        <w:rPr>
          <w:rFonts w:ascii="Calibri" w:hAnsi="Calibri"/>
          <w:i w:val="0"/>
          <w:color w:val="141B2E"/>
          <w:sz w:val="21"/>
        </w:rPr>
        <w:t xml:space="preserve"> — OpcUaMeasurementInput for process tags (pressure, flow, temperature, power, valve position).</w:t>
      </w:r>
    </w:p>
    <w:p>
      <w:pPr>
        <w:pStyle w:val="ListBullet"/>
        <w:spacing w:after="60" w:line="269" w:lineRule="auto"/>
        <w:ind w:left="403"/>
      </w:pPr>
      <w:r>
        <w:rPr>
          <w:rFonts w:ascii="Calibri" w:hAnsi="Calibri"/>
          <w:b/>
          <w:i w:val="0"/>
          <w:color w:val="141B2E"/>
          <w:sz w:val="21"/>
        </w:rPr>
        <w:t>MQTT / Sparkplug B</w:t>
      </w:r>
      <w:r>
        <w:rPr>
          <w:rFonts w:ascii="Calibri" w:hAnsi="Calibri"/>
          <w:i w:val="0"/>
          <w:color w:val="141B2E"/>
          <w:sz w:val="21"/>
        </w:rPr>
        <w:t xml:space="preserve"> — MqttMetricInput for IIoT gateways and vibration/acoustic feeds.</w:t>
      </w:r>
    </w:p>
    <w:p>
      <w:pPr>
        <w:pStyle w:val="ListBullet"/>
        <w:spacing w:after="60" w:line="269" w:lineRule="auto"/>
        <w:ind w:left="403"/>
      </w:pPr>
      <w:r>
        <w:rPr>
          <w:rFonts w:ascii="Calibri" w:hAnsi="Calibri"/>
          <w:i w:val="0"/>
          <w:color w:val="141B2E"/>
          <w:sz w:val="21"/>
        </w:rPr>
        <w:t xml:space="preserve">Derive the </w:t>
      </w:r>
      <w:r>
        <w:rPr>
          <w:rFonts w:ascii="Calibri" w:hAnsi="Calibri"/>
          <w:b/>
          <w:i w:val="0"/>
          <w:color w:val="141B2E"/>
          <w:sz w:val="21"/>
        </w:rPr>
        <w:t>regime</w:t>
      </w:r>
      <w:r>
        <w:rPr>
          <w:rFonts w:ascii="Calibri" w:hAnsi="Calibri"/>
          <w:i w:val="0"/>
          <w:color w:val="141B2E"/>
          <w:sz w:val="21"/>
        </w:rPr>
        <w:t xml:space="preserve"> from a load or power band if you do not publish it directly.</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Get the sensor names right</w:t>
            </w:r>
          </w:p>
          <w:p>
            <w:pPr>
              <w:spacing w:after="0"/>
            </w:pPr>
            <w:r>
              <w:rPr>
                <w:rFonts w:ascii="Calibri" w:hAnsi="Calibri"/>
                <w:i w:val="0"/>
                <w:color w:val="141B2E"/>
                <w:sz w:val="20"/>
              </w:rPr>
              <w:t>The reconstruction weights are keyed by sensor name. The tag→sensor mapping must match the sensorOrder in layer-1 exactly, or the residuals are meaningless. Validate the mapping once at commissioning.</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6  </w:t>
      </w:r>
      <w:r>
        <w:rPr>
          <w:rFonts w:ascii="Calibri" w:hAnsi="Calibri"/>
          <w:b/>
          <w:color w:val="102A54"/>
          <w:sz w:val="34"/>
        </w:rPr>
        <w:t>Step 4 — wire the feedback channel</w:t>
      </w:r>
    </w:p>
    <w:p>
      <w:pPr>
        <w:spacing w:after="120"/>
      </w:pPr>
      <w:r>
        <w:rPr>
          <w:rFonts w:ascii="Calibri" w:hAnsi="Calibri"/>
          <w:i w:val="0"/>
          <w:color w:val="141B2E"/>
          <w:sz w:val="21"/>
        </w:rPr>
        <w:t>This is what makes the model improve. When an operator dispositions an advisory in your UI, CMMS, or SIEM, publish an OperatorFeedbackSignal carrying: the asset, the fault family, confirmed / false-positive, the operator identity, and the domain-shift value observed when the advisory fired (so the adapter can freeze during novelty). Feedback runs on the slow loop; it need not be real-time.</w:t>
      </w:r>
    </w:p>
    <w:p>
      <w:pPr>
        <w:pStyle w:val="ListBullet"/>
        <w:spacing w:after="60" w:line="269" w:lineRule="auto"/>
        <w:ind w:left="403"/>
      </w:pPr>
      <w:r>
        <w:rPr>
          <w:rFonts w:ascii="Calibri" w:hAnsi="Calibri"/>
          <w:b/>
          <w:i w:val="0"/>
          <w:color w:val="141B2E"/>
          <w:sz w:val="21"/>
        </w:rPr>
        <w:t>Confirmed</w:t>
      </w:r>
      <w:r>
        <w:rPr>
          <w:rFonts w:ascii="Calibri" w:hAnsi="Calibri"/>
          <w:i w:val="0"/>
          <w:color w:val="141B2E"/>
          <w:sz w:val="21"/>
        </w:rPr>
        <w:t xml:space="preserve"> advisories slightly relax that family's threshold.</w:t>
      </w:r>
    </w:p>
    <w:p>
      <w:pPr>
        <w:pStyle w:val="ListBullet"/>
        <w:spacing w:after="60" w:line="269" w:lineRule="auto"/>
        <w:ind w:left="403"/>
      </w:pPr>
      <w:r>
        <w:rPr>
          <w:rFonts w:ascii="Calibri" w:hAnsi="Calibri"/>
          <w:b/>
          <w:i w:val="0"/>
          <w:color w:val="141B2E"/>
          <w:sz w:val="21"/>
        </w:rPr>
        <w:t>False-positive</w:t>
      </w:r>
      <w:r>
        <w:rPr>
          <w:rFonts w:ascii="Calibri" w:hAnsi="Calibri"/>
          <w:i w:val="0"/>
          <w:color w:val="141B2E"/>
          <w:sz w:val="21"/>
        </w:rPr>
        <w:t xml:space="preserve"> advisories raise it — bounded and rate-limited.</w:t>
      </w:r>
    </w:p>
    <w:p>
      <w:pPr>
        <w:pStyle w:val="ListBullet"/>
        <w:spacing w:after="60" w:line="269" w:lineRule="auto"/>
        <w:ind w:left="403"/>
      </w:pPr>
      <w:r>
        <w:rPr>
          <w:rFonts w:ascii="Calibri" w:hAnsi="Calibri"/>
          <w:i w:val="0"/>
          <w:color w:val="141B2E"/>
          <w:sz w:val="21"/>
        </w:rPr>
        <w:t xml:space="preserve">Only </w:t>
      </w:r>
      <w:r>
        <w:rPr>
          <w:rFonts w:ascii="Calibri" w:hAnsi="Calibri"/>
          <w:b/>
          <w:i w:val="0"/>
          <w:color w:val="141B2E"/>
          <w:sz w:val="21"/>
        </w:rPr>
        <w:t>authenticated</w:t>
      </w:r>
      <w:r>
        <w:rPr>
          <w:rFonts w:ascii="Calibri" w:hAnsi="Calibri"/>
          <w:i w:val="0"/>
          <w:color w:val="141B2E"/>
          <w:sz w:val="21"/>
        </w:rPr>
        <w:t xml:space="preserve"> operator feedback should be admitted; tag provenance for audit.</w:t>
      </w:r>
    </w:p>
    <w:p>
      <w:pPr>
        <w:keepNext/>
        <w:spacing w:before="320" w:after="40"/>
        <w:pBdr>
          <w:bottom w:val="single" w:sz="10" w:space="4" w:color="0E7C86"/>
        </w:pBdr>
      </w:pPr>
      <w:r>
        <w:rPr>
          <w:rFonts w:ascii="Calibri" w:hAnsi="Calibri"/>
          <w:b/>
          <w:color w:val="0E7C86"/>
          <w:sz w:val="34"/>
        </w:rPr>
        <w:t xml:space="preserve">7  </w:t>
      </w:r>
      <w:r>
        <w:rPr>
          <w:rFonts w:ascii="Calibri" w:hAnsi="Calibri"/>
          <w:b/>
          <w:color w:val="102A54"/>
          <w:sz w:val="34"/>
        </w:rPr>
        <w:t>Step 5 — where advisories go</w:t>
      </w:r>
    </w:p>
    <w:p>
      <w:pPr>
        <w:spacing w:after="120"/>
      </w:pPr>
      <w:r>
        <w:rPr>
          <w:rFonts w:ascii="Calibri" w:hAnsi="Calibri"/>
          <w:i w:val="0"/>
          <w:color w:val="141B2E"/>
          <w:sz w:val="21"/>
        </w:rPr>
        <w:t>Advisories leave through an IOutputAggregator, instantiated by the runtime. Choose per site: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464"/>
            <w:shd w:val="clear" w:color="auto" w:fill="0E7C86"/>
            <w:tcMar>
              <w:top w:w="60" w:type="dxa"/>
              <w:bottom w:w="60" w:type="dxa"/>
              <w:start w:w="110" w:type="dxa"/>
              <w:end w:w="110" w:type="dxa"/>
            </w:tcMar>
            <w:vAlign w:val="center"/>
          </w:tcPr>
          <w:p>
            <w:pPr>
              <w:spacing w:after="0"/>
            </w:pPr>
            <w:r>
              <w:rPr>
                <w:rFonts w:ascii="Calibri" w:hAnsi="Calibri"/>
                <w:b/>
                <w:color w:val="FFFFFF"/>
                <w:sz w:val="19"/>
              </w:rPr>
              <w:t>Aggregator</w:t>
            </w:r>
          </w:p>
        </w:tc>
        <w:tc>
          <w:tcPr>
            <w:tcW w:type="dxa" w:w="4608"/>
            <w:shd w:val="clear" w:color="auto" w:fill="0E7C86"/>
            <w:tcMar>
              <w:top w:w="60" w:type="dxa"/>
              <w:bottom w:w="60" w:type="dxa"/>
              <w:start w:w="110" w:type="dxa"/>
              <w:end w:w="110" w:type="dxa"/>
            </w:tcMar>
            <w:vAlign w:val="center"/>
          </w:tcPr>
          <w:p>
            <w:pPr>
              <w:spacing w:after="0"/>
            </w:pPr>
            <w:r>
              <w:rPr>
                <w:rFonts w:ascii="Calibri" w:hAnsi="Calibri"/>
                <w:b/>
                <w:color w:val="FFFFFF"/>
                <w:sz w:val="19"/>
              </w:rPr>
              <w:t>Use it for</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JsonlResultAggregator</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file/SIEM ingest, simplest first deployment</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KafkaAdvisoryOutputAggregator</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streaming into an enterprise bus / historian</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MqttAdvisoryOutputAggregator</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publishing back to an IIoT broker / dashboard</w:t>
            </w:r>
          </w:p>
        </w:tc>
      </w:tr>
    </w:tbl>
    <w:p>
      <w:pPr>
        <w:spacing w:after="0" w:before="0"/>
      </w:pPr>
      <w:r>
        <w:rPr>
          <w:sz w:val="12"/>
        </w:rPr>
      </w:r>
    </w:p>
    <w:p>
      <w:pPr>
        <w:spacing w:after="120"/>
      </w:pPr>
      <w:r>
        <w:rPr>
          <w:rFonts w:ascii="Calibri" w:hAnsi="Calibri"/>
          <w:i w:val="0"/>
          <w:color w:val="141B2E"/>
          <w:sz w:val="21"/>
        </w:rPr>
        <w:t>Each MaintenanceAdvisorySignal carries the asset, fault family, severity, estimated lead time, uncertainty, and a human-readable recommendation. advisoryOnly is always true on the wire.</w:t>
      </w:r>
    </w:p>
    <w:p>
      <w:pPr>
        <w:keepNext/>
        <w:spacing w:before="320" w:after="40"/>
        <w:pBdr>
          <w:bottom w:val="single" w:sz="10" w:space="4" w:color="0E7C86"/>
        </w:pBdr>
      </w:pPr>
      <w:r>
        <w:rPr>
          <w:rFonts w:ascii="Calibri" w:hAnsi="Calibri"/>
          <w:b/>
          <w:color w:val="0E7C86"/>
          <w:sz w:val="34"/>
        </w:rPr>
        <w:t xml:space="preserve">8  </w:t>
      </w:r>
      <w:r>
        <w:rPr>
          <w:rFonts w:ascii="Calibri" w:hAnsi="Calibri"/>
          <w:b/>
          <w:color w:val="102A54"/>
          <w:sz w:val="34"/>
        </w:rPr>
        <w:t>Step 6 — deployment modes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0E7C86"/>
            <w:tcMar>
              <w:top w:w="60" w:type="dxa"/>
              <w:bottom w:w="60" w:type="dxa"/>
              <w:start w:w="110" w:type="dxa"/>
              <w:end w:w="110" w:type="dxa"/>
            </w:tcMar>
            <w:vAlign w:val="center"/>
          </w:tcPr>
          <w:p>
            <w:pPr>
              <w:spacing w:after="0"/>
            </w:pPr>
            <w:r>
              <w:rPr>
                <w:rFonts w:ascii="Calibri" w:hAnsi="Calibri"/>
                <w:b/>
                <w:color w:val="FFFFFF"/>
                <w:sz w:val="19"/>
              </w:rPr>
              <w:t>Mode</w:t>
            </w:r>
          </w:p>
        </w:tc>
        <w:tc>
          <w:tcPr>
            <w:tcW w:type="dxa" w:w="3456"/>
            <w:shd w:val="clear" w:color="auto" w:fill="0E7C86"/>
            <w:tcMar>
              <w:top w:w="60" w:type="dxa"/>
              <w:bottom w:w="60" w:type="dxa"/>
              <w:start w:w="110" w:type="dxa"/>
              <w:end w:w="110" w:type="dxa"/>
            </w:tcMar>
            <w:vAlign w:val="center"/>
          </w:tcPr>
          <w:p>
            <w:pPr>
              <w:spacing w:after="0"/>
            </w:pPr>
            <w:r>
              <w:rPr>
                <w:rFonts w:ascii="Calibri" w:hAnsi="Calibri"/>
                <w:b/>
                <w:color w:val="FFFFFF"/>
                <w:sz w:val="19"/>
              </w:rPr>
              <w:t>Shape</w:t>
            </w:r>
          </w:p>
        </w:tc>
        <w:tc>
          <w:tcPr>
            <w:tcW w:type="dxa" w:w="3744"/>
            <w:shd w:val="clear" w:color="auto" w:fill="0E7C86"/>
            <w:tcMar>
              <w:top w:w="60" w:type="dxa"/>
              <w:bottom w:w="60" w:type="dxa"/>
              <w:start w:w="110" w:type="dxa"/>
              <w:end w:w="110" w:type="dxa"/>
            </w:tcMar>
            <w:vAlign w:val="center"/>
          </w:tcPr>
          <w:p>
            <w:pPr>
              <w:spacing w:after="0"/>
            </w:pPr>
            <w:r>
              <w:rPr>
                <w:rFonts w:ascii="Calibri" w:hAnsi="Calibri"/>
                <w:b/>
                <w:color w:val="FFFFFF"/>
                <w:sz w:val="19"/>
              </w:rPr>
              <w:t>When</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local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single worker in one JVM</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 plant, a cell, an edge box</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http</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master + HTTP workers</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several lines, central coordination</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grpc (client/master)</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master + gRPC workers</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larger fleets, lower-latency fan-out</w:t>
            </w:r>
          </w:p>
        </w:tc>
      </w:tr>
    </w:tbl>
    <w:p>
      <w:pPr>
        <w:spacing w:after="0" w:before="0"/>
      </w:pPr>
      <w:r>
        <w:rPr>
          <w:sz w:val="12"/>
        </w:rPr>
      </w:r>
    </w:p>
    <w:p>
      <w:pPr>
        <w:spacing w:after="120"/>
      </w:pPr>
      <w:r>
        <w:rPr>
          <w:rFonts w:ascii="Calibri" w:hAnsi="Calibri"/>
          <w:i w:val="0"/>
          <w:color w:val="141B2E"/>
          <w:sz w:val="21"/>
        </w:rPr>
        <w:t>The model is identical across modes; only the transport and worker topology change. Start local, scale out when the asset count warrants it.</w:t>
      </w:r>
    </w:p>
    <w:p>
      <w:pPr>
        <w:keepNext/>
        <w:spacing w:before="320" w:after="40"/>
        <w:pBdr>
          <w:bottom w:val="single" w:sz="10" w:space="4" w:color="0E7C86"/>
        </w:pBdr>
      </w:pPr>
      <w:r>
        <w:rPr>
          <w:rFonts w:ascii="Calibri" w:hAnsi="Calibri"/>
          <w:b/>
          <w:color w:val="0E7C86"/>
          <w:sz w:val="34"/>
        </w:rPr>
        <w:t xml:space="preserve">9  </w:t>
      </w:r>
      <w:r>
        <w:rPr>
          <w:rFonts w:ascii="Calibri" w:hAnsi="Calibri"/>
          <w:b/>
          <w:color w:val="102A54"/>
          <w:sz w:val="34"/>
        </w:rPr>
        <w:t>Step 7 — continuous learning in production</w:t>
      </w:r>
    </w:p>
    <w:p>
      <w:pPr>
        <w:spacing w:after="120"/>
      </w:pPr>
      <w:r>
        <w:rPr>
          <w:rFonts w:ascii="Calibri" w:hAnsi="Calibri"/>
          <w:i w:val="0"/>
          <w:color w:val="141B2E"/>
          <w:sz w:val="21"/>
        </w:rPr>
        <w:t>Learning at runtime lives in neuron state and is persisted to storage.json, so it survives restarts without a rebuild. The recommended discipline for evolving anything heavier than thresholds is champion/challenger:</w:t>
      </w:r>
    </w:p>
    <w:p>
      <w:pPr>
        <w:pStyle w:val="ListBullet"/>
        <w:spacing w:after="60" w:line="269" w:lineRule="auto"/>
        <w:ind w:left="403"/>
      </w:pPr>
      <w:r>
        <w:rPr>
          <w:rFonts w:ascii="Calibri" w:hAnsi="Calibri"/>
          <w:i w:val="0"/>
          <w:color w:val="141B2E"/>
          <w:sz w:val="21"/>
        </w:rPr>
        <w:t xml:space="preserve">the </w:t>
      </w:r>
      <w:r>
        <w:rPr>
          <w:rFonts w:ascii="Calibri" w:hAnsi="Calibri"/>
          <w:b/>
          <w:i w:val="0"/>
          <w:color w:val="141B2E"/>
          <w:sz w:val="21"/>
        </w:rPr>
        <w:t>champion</w:t>
      </w:r>
      <w:r>
        <w:rPr>
          <w:rFonts w:ascii="Calibri" w:hAnsi="Calibri"/>
          <w:i w:val="0"/>
          <w:color w:val="141B2E"/>
          <w:sz w:val="21"/>
        </w:rPr>
        <w:t xml:space="preserve"> (current, stable) serves advisories;</w:t>
      </w:r>
    </w:p>
    <w:p>
      <w:pPr>
        <w:pStyle w:val="ListBullet"/>
        <w:spacing w:after="60" w:line="269" w:lineRule="auto"/>
        <w:ind w:left="403"/>
      </w:pPr>
      <w:r>
        <w:rPr>
          <w:rFonts w:ascii="Calibri" w:hAnsi="Calibri"/>
          <w:i w:val="0"/>
          <w:color w:val="141B2E"/>
          <w:sz w:val="21"/>
        </w:rPr>
        <w:t xml:space="preserve">a </w:t>
      </w:r>
      <w:r>
        <w:rPr>
          <w:rFonts w:ascii="Calibri" w:hAnsi="Calibri"/>
          <w:b/>
          <w:i w:val="0"/>
          <w:color w:val="141B2E"/>
          <w:sz w:val="21"/>
        </w:rPr>
        <w:t>challenger</w:t>
      </w:r>
      <w:r>
        <w:rPr>
          <w:rFonts w:ascii="Calibri" w:hAnsi="Calibri"/>
          <w:i w:val="0"/>
          <w:color w:val="141B2E"/>
          <w:sz w:val="21"/>
        </w:rPr>
        <w:t xml:space="preserve"> adapts on the harvested feedback in shadow;</w:t>
      </w:r>
    </w:p>
    <w:p>
      <w:pPr>
        <w:pStyle w:val="ListBullet"/>
        <w:spacing w:after="60" w:line="269" w:lineRule="auto"/>
        <w:ind w:left="403"/>
      </w:pPr>
      <w:r>
        <w:rPr>
          <w:rFonts w:ascii="Calibri" w:hAnsi="Calibri"/>
          <w:i w:val="0"/>
          <w:color w:val="141B2E"/>
          <w:sz w:val="21"/>
        </w:rPr>
        <w:t xml:space="preserve">promote the challenger only when it beats the champion on </w:t>
      </w:r>
      <w:r>
        <w:rPr>
          <w:rFonts w:ascii="Calibri" w:hAnsi="Calibri"/>
          <w:b/>
          <w:i w:val="0"/>
          <w:color w:val="141B2E"/>
          <w:sz w:val="21"/>
        </w:rPr>
        <w:t>independent</w:t>
      </w:r>
      <w:r>
        <w:rPr>
          <w:rFonts w:ascii="Calibri" w:hAnsi="Calibri"/>
          <w:i w:val="0"/>
          <w:color w:val="141B2E"/>
          <w:sz w:val="21"/>
        </w:rPr>
        <w:t xml:space="preserve"> outcomes (actual work orders / confirmed failures), and keep the champion snapshot for instant rollback.</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No redeploy required</w:t>
            </w:r>
          </w:p>
          <w:p>
            <w:pPr>
              <w:spacing w:after="0"/>
            </w:pPr>
            <w:r>
              <w:rPr>
                <w:rFonts w:ascii="Calibri" w:hAnsi="Calibri"/>
                <w:i w:val="0"/>
                <w:color w:val="141B2E"/>
                <w:sz w:val="20"/>
              </w:rPr>
              <w:t>Threshold adaptation is applied in place via ThresholdUpdateSignal into the running gate. Promotion of a challenger is an internal, audited state swap — not a JAR redeploy.</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10  </w:t>
      </w:r>
      <w:r>
        <w:rPr>
          <w:rFonts w:ascii="Calibri" w:hAnsi="Calibri"/>
          <w:b/>
          <w:color w:val="102A54"/>
          <w:sz w:val="34"/>
        </w:rPr>
        <w:t>Rollout: shadow → advisory</w:t>
      </w:r>
    </w:p>
    <w:p>
      <w:pPr>
        <w:pStyle w:val="ListBullet"/>
        <w:spacing w:after="60" w:line="269" w:lineRule="auto"/>
        <w:ind w:left="403"/>
      </w:pPr>
      <w:r>
        <w:rPr>
          <w:rFonts w:ascii="Calibri" w:hAnsi="Calibri"/>
          <w:b/>
          <w:i w:val="0"/>
          <w:color w:val="141B2E"/>
          <w:sz w:val="21"/>
        </w:rPr>
        <w:t>Shadow (weeks 1–n).</w:t>
      </w:r>
      <w:r>
        <w:rPr>
          <w:rFonts w:ascii="Calibri" w:hAnsi="Calibri"/>
          <w:i w:val="0"/>
          <w:color w:val="141B2E"/>
          <w:sz w:val="21"/>
        </w:rPr>
        <w:t xml:space="preserve"> Advisories are recorded but not shown to operators; you learn the false-positive rate and let baselines settle. Feedback can still be harvested from actual outcomes.</w:t>
      </w:r>
    </w:p>
    <w:p>
      <w:pPr>
        <w:pStyle w:val="ListBullet"/>
        <w:spacing w:after="60" w:line="269" w:lineRule="auto"/>
        <w:ind w:left="403"/>
      </w:pPr>
      <w:r>
        <w:rPr>
          <w:rFonts w:ascii="Calibri" w:hAnsi="Calibri"/>
          <w:b/>
          <w:i w:val="0"/>
          <w:color w:val="141B2E"/>
          <w:sz w:val="21"/>
        </w:rPr>
        <w:t>Advisory (go-live).</w:t>
      </w:r>
      <w:r>
        <w:rPr>
          <w:rFonts w:ascii="Calibri" w:hAnsi="Calibri"/>
          <w:i w:val="0"/>
          <w:color w:val="141B2E"/>
          <w:sz w:val="21"/>
        </w:rPr>
        <w:t xml:space="preserve"> Operators see advisories and disposition them; the feedback loop starts driving nuisance alerts down.</w:t>
      </w:r>
    </w:p>
    <w:p>
      <w:pPr>
        <w:pStyle w:val="ListBullet"/>
        <w:spacing w:after="60" w:line="269" w:lineRule="auto"/>
        <w:ind w:left="403"/>
      </w:pPr>
      <w:r>
        <w:rPr>
          <w:rFonts w:ascii="Calibri" w:hAnsi="Calibri"/>
          <w:i w:val="0"/>
          <w:color w:val="141B2E"/>
          <w:sz w:val="21"/>
        </w:rPr>
        <w:t>There is no autonomous stage. The model never graduates out of advisory.</w:t>
      </w:r>
    </w:p>
    <w:p>
      <w:pPr>
        <w:keepNext/>
        <w:spacing w:before="320" w:after="40"/>
        <w:pBdr>
          <w:bottom w:val="single" w:sz="10" w:space="4" w:color="0E7C86"/>
        </w:pBdr>
      </w:pPr>
      <w:r>
        <w:rPr>
          <w:rFonts w:ascii="Calibri" w:hAnsi="Calibri"/>
          <w:b/>
          <w:color w:val="0E7C86"/>
          <w:sz w:val="34"/>
        </w:rPr>
        <w:t xml:space="preserve">11  </w:t>
      </w:r>
      <w:r>
        <w:rPr>
          <w:rFonts w:ascii="Calibri" w:hAnsi="Calibri"/>
          <w:b/>
          <w:color w:val="102A54"/>
          <w:sz w:val="34"/>
        </w:rPr>
        <w:t>Operations and monitoring</w:t>
      </w:r>
    </w:p>
    <w:p>
      <w:pPr>
        <w:pStyle w:val="ListBullet"/>
        <w:spacing w:after="60" w:line="269" w:lineRule="auto"/>
        <w:ind w:left="403"/>
      </w:pPr>
      <w:r>
        <w:rPr>
          <w:rFonts w:ascii="Calibri" w:hAnsi="Calibri"/>
          <w:i w:val="0"/>
          <w:color w:val="141B2E"/>
          <w:sz w:val="21"/>
        </w:rPr>
        <w:t xml:space="preserve">Track the </w:t>
      </w:r>
      <w:r>
        <w:rPr>
          <w:rFonts w:ascii="Calibri" w:hAnsi="Calibri"/>
          <w:b/>
          <w:i w:val="0"/>
          <w:color w:val="141B2E"/>
          <w:sz w:val="21"/>
        </w:rPr>
        <w:t>false-positive rate per family</w:t>
      </w:r>
      <w:r>
        <w:rPr>
          <w:rFonts w:ascii="Calibri" w:hAnsi="Calibri"/>
          <w:i w:val="0"/>
          <w:color w:val="141B2E"/>
          <w:sz w:val="21"/>
        </w:rPr>
        <w:t xml:space="preserve"> and confirm it trends down as feedback accumulates.</w:t>
      </w:r>
    </w:p>
    <w:p>
      <w:pPr>
        <w:pStyle w:val="ListBullet"/>
        <w:spacing w:after="60" w:line="269" w:lineRule="auto"/>
        <w:ind w:left="403"/>
      </w:pPr>
      <w:r>
        <w:rPr>
          <w:rFonts w:ascii="Calibri" w:hAnsi="Calibri"/>
          <w:i w:val="0"/>
          <w:color w:val="141B2E"/>
          <w:sz w:val="21"/>
        </w:rPr>
        <w:t xml:space="preserve">Watch </w:t>
      </w:r>
      <w:r>
        <w:rPr>
          <w:rFonts w:ascii="Calibri" w:hAnsi="Calibri"/>
          <w:b/>
          <w:i w:val="0"/>
          <w:color w:val="141B2E"/>
          <w:sz w:val="21"/>
        </w:rPr>
        <w:t>domain-shift / uncertainty</w:t>
      </w:r>
      <w:r>
        <w:rPr>
          <w:rFonts w:ascii="Calibri" w:hAnsi="Calibri"/>
          <w:i w:val="0"/>
          <w:color w:val="141B2E"/>
          <w:sz w:val="21"/>
        </w:rPr>
        <w:t>; a rising trend means the plant has moved away from the training window — schedule a refit (Training Guide).</w:t>
      </w:r>
    </w:p>
    <w:p>
      <w:pPr>
        <w:pStyle w:val="ListBullet"/>
        <w:spacing w:after="60" w:line="269" w:lineRule="auto"/>
        <w:ind w:left="403"/>
      </w:pPr>
      <w:r>
        <w:rPr>
          <w:rFonts w:ascii="Calibri" w:hAnsi="Calibri"/>
          <w:i w:val="0"/>
          <w:color w:val="141B2E"/>
          <w:sz w:val="21"/>
        </w:rPr>
        <w:t>Snapshot persisted neuron state on a schedule so a promotion can be rolled back.</w:t>
      </w:r>
    </w:p>
    <w:p>
      <w:pPr>
        <w:pStyle w:val="ListBullet"/>
        <w:spacing w:after="60" w:line="269" w:lineRule="auto"/>
        <w:ind w:left="403"/>
      </w:pPr>
      <w:r>
        <w:rPr>
          <w:rFonts w:ascii="Calibri" w:hAnsi="Calibri"/>
          <w:i w:val="0"/>
          <w:color w:val="141B2E"/>
          <w:sz w:val="21"/>
        </w:rPr>
        <w:t xml:space="preserve">Alert on </w:t>
      </w:r>
      <w:r>
        <w:rPr>
          <w:rFonts w:ascii="Calibri" w:hAnsi="Calibri"/>
          <w:b/>
          <w:i w:val="0"/>
          <w:color w:val="141B2E"/>
          <w:sz w:val="21"/>
        </w:rPr>
        <w:t>detection lead time</w:t>
      </w:r>
      <w:r>
        <w:rPr>
          <w:rFonts w:ascii="Calibri" w:hAnsi="Calibri"/>
          <w:i w:val="0"/>
          <w:color w:val="141B2E"/>
          <w:sz w:val="21"/>
        </w:rPr>
        <w:t xml:space="preserve"> shrinking — advisories firing too close to failure suggest the trend or thresholds need attention.</w:t>
      </w:r>
    </w:p>
    <w:p>
      <w:pPr>
        <w:keepNext/>
        <w:spacing w:before="320" w:after="40"/>
        <w:pBdr>
          <w:bottom w:val="single" w:sz="10" w:space="4" w:color="0E7C86"/>
        </w:pBdr>
      </w:pPr>
      <w:r>
        <w:rPr>
          <w:rFonts w:ascii="Calibri" w:hAnsi="Calibri"/>
          <w:b/>
          <w:color w:val="0E7C86"/>
          <w:sz w:val="34"/>
        </w:rPr>
        <w:t xml:space="preserve">12  </w:t>
      </w:r>
      <w:r>
        <w:rPr>
          <w:rFonts w:ascii="Calibri" w:hAnsi="Calibri"/>
          <w:b/>
          <w:color w:val="102A54"/>
          <w:sz w:val="34"/>
        </w:rPr>
        <w:t>Safety checklist</w:t>
      </w:r>
    </w:p>
    <w:p>
      <w:pPr>
        <w:pStyle w:val="ListBullet"/>
        <w:spacing w:after="60" w:line="269" w:lineRule="auto"/>
        <w:ind w:left="403"/>
      </w:pPr>
      <w:r>
        <w:rPr>
          <w:rFonts w:ascii="Calibri" w:hAnsi="Calibri"/>
          <w:i w:val="0"/>
          <w:color w:val="141B2E"/>
          <w:sz w:val="21"/>
        </w:rPr>
        <w:t>advisoryOnly is true and cannot be disabled (SsMaintConfig invariant).</w:t>
      </w:r>
    </w:p>
    <w:p>
      <w:pPr>
        <w:pStyle w:val="ListBullet"/>
        <w:spacing w:after="60" w:line="269" w:lineRule="auto"/>
        <w:ind w:left="403"/>
      </w:pPr>
      <w:r>
        <w:rPr>
          <w:rFonts w:ascii="Calibri" w:hAnsi="Calibri"/>
          <w:i w:val="0"/>
          <w:color w:val="141B2E"/>
          <w:sz w:val="21"/>
        </w:rPr>
        <w:t>No output path reaches an actuator; interlocks and the hard safety gate are outside this model.</w:t>
      </w:r>
    </w:p>
    <w:p>
      <w:pPr>
        <w:pStyle w:val="ListBullet"/>
        <w:spacing w:after="60" w:line="269" w:lineRule="auto"/>
        <w:ind w:left="403"/>
      </w:pPr>
      <w:r>
        <w:rPr>
          <w:rFonts w:ascii="Calibri" w:hAnsi="Calibri"/>
          <w:i w:val="0"/>
          <w:color w:val="141B2E"/>
          <w:sz w:val="21"/>
        </w:rPr>
        <w:t>Feedback is authenticated and provenance-tagged; adaptation freezes during domain shift.</w:t>
      </w:r>
    </w:p>
    <w:p>
      <w:pPr>
        <w:pStyle w:val="ListBullet"/>
        <w:spacing w:after="60" w:line="269" w:lineRule="auto"/>
        <w:ind w:left="403"/>
      </w:pPr>
      <w:r>
        <w:rPr>
          <w:rFonts w:ascii="Calibri" w:hAnsi="Calibri"/>
          <w:i w:val="0"/>
          <w:color w:val="141B2E"/>
          <w:sz w:val="21"/>
        </w:rPr>
        <w:t>Persisted state is snapshotted; challenger promotions are audited and reversible.</w:t>
      </w:r>
    </w:p>
    <w:p>
      <w:pPr>
        <w:keepNext/>
        <w:spacing w:before="320" w:after="40"/>
        <w:pBdr>
          <w:bottom w:val="single" w:sz="10" w:space="4" w:color="0E7C86"/>
        </w:pBdr>
      </w:pPr>
      <w:r>
        <w:rPr>
          <w:rFonts w:ascii="Calibri" w:hAnsi="Calibri"/>
          <w:b/>
          <w:color w:val="0E7C86"/>
          <w:sz w:val="34"/>
        </w:rPr>
        <w:t xml:space="preserve">13  </w:t>
      </w:r>
      <w:r>
        <w:rPr>
          <w:rFonts w:ascii="Calibri" w:hAnsi="Calibri"/>
          <w:b/>
          <w:color w:val="102A54"/>
          <w:sz w:val="34"/>
        </w:rPr>
        <w:t>Troubleshooting</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Symptom</w:t>
            </w:r>
          </w:p>
        </w:tc>
        <w:tc>
          <w:tcPr>
            <w:tcW w:type="dxa" w:w="3312"/>
            <w:shd w:val="clear" w:color="auto" w:fill="0E7C86"/>
            <w:tcMar>
              <w:top w:w="60" w:type="dxa"/>
              <w:bottom w:w="60" w:type="dxa"/>
              <w:start w:w="110" w:type="dxa"/>
              <w:end w:w="110" w:type="dxa"/>
            </w:tcMar>
            <w:vAlign w:val="center"/>
          </w:tcPr>
          <w:p>
            <w:pPr>
              <w:spacing w:after="0"/>
            </w:pPr>
            <w:r>
              <w:rPr>
                <w:rFonts w:ascii="Calibri" w:hAnsi="Calibri"/>
                <w:b/>
                <w:color w:val="FFFFFF"/>
                <w:sz w:val="19"/>
              </w:rPr>
              <w:t>Likely cause</w:t>
            </w:r>
          </w:p>
        </w:tc>
        <w:tc>
          <w:tcPr>
            <w:tcW w:type="dxa" w:w="3600"/>
            <w:shd w:val="clear" w:color="auto" w:fill="0E7C86"/>
            <w:tcMar>
              <w:top w:w="60" w:type="dxa"/>
              <w:bottom w:w="60" w:type="dxa"/>
              <w:start w:w="110" w:type="dxa"/>
              <w:end w:w="110" w:type="dxa"/>
            </w:tcMar>
            <w:vAlign w:val="center"/>
          </w:tcPr>
          <w:p>
            <w:pPr>
              <w:spacing w:after="0"/>
            </w:pPr>
            <w:r>
              <w:rPr>
                <w:rFonts w:ascii="Calibri" w:hAnsi="Calibri"/>
                <w:b/>
                <w:color w:val="FFFFFF"/>
                <w:sz w:val="19"/>
              </w:rPr>
              <w:t>Fix</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Startup fails fast</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neuronnet.classes / bundle mismatch</w:t>
            </w:r>
          </w:p>
        </w:tc>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Re-emit bundle; check classpath</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Residuals nonsensical</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tag→sensor mapping wrong</w:t>
            </w:r>
          </w:p>
        </w:tc>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Align mapping with layer-1 sensorOrder</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Thresholds never move</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feedback not arriving / frozen</w:t>
            </w:r>
          </w:p>
        </w:tc>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Check feedback wiring &amp; domain-shift</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Learning lost on restart</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storage not persisted</w:t>
            </w:r>
          </w:p>
        </w:tc>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Set writable storage.json</w:t>
            </w:r>
          </w:p>
        </w:tc>
      </w:tr>
    </w:tbl>
    <w:p>
      <w:pPr>
        <w:spacing w:after="0" w:before="0"/>
      </w:pPr>
      <w:r>
        <w:rPr>
          <w:sz w:val="12"/>
        </w:rPr>
      </w:r>
    </w:p>
    <w:p>
      <w:pPr>
        <w:spacing w:after="120"/>
      </w:pPr>
      <w:r>
        <w:rPr>
          <w:rFonts w:ascii="Calibri" w:hAnsi="Calibri"/>
          <w:i/>
          <w:color w:val="0E7C86"/>
          <w:sz w:val="21"/>
        </w:rPr>
        <w:t>Deploy it in shadow, wire the feedback, watch the false-positive rate fall — and never let it leave advisory. The safety layer is deterministic and lives outside the model, exactly as it should.</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Self-Supervised Maintenance Guardian · Label-free predictive maintenance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