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SELF-SUPERVISED MAINTENANCE GUARDIAN</w:t>
            </w:r>
          </w:p>
          <w:p>
            <w:pPr>
              <w:spacing w:after="40"/>
            </w:pPr>
            <w:r>
              <w:rPr>
                <w:rFonts w:ascii="Calibri" w:hAnsi="Calibri"/>
                <w:color w:val="B9C6DA"/>
                <w:sz w:val="18"/>
              </w:rPr>
              <w:t>TRAINING GUIDE</w:t>
            </w:r>
          </w:p>
        </w:tc>
      </w:tr>
    </w:tbl>
    <w:p>
      <w:pPr>
        <w:spacing w:after="0" w:before="0"/>
      </w:pPr>
      <w:r>
        <w:rPr>
          <w:sz w:val="40"/>
        </w:rPr>
      </w:r>
    </w:p>
    <w:p>
      <w:pPr>
        <w:spacing w:after="80"/>
      </w:pPr>
      <w:r>
        <w:rPr>
          <w:rFonts w:ascii="Calibri" w:hAnsi="Calibri"/>
          <w:b/>
          <w:color w:val="102A54"/>
          <w:sz w:val="60"/>
        </w:rPr>
        <w:t>Training Guide</w:t>
      </w:r>
    </w:p>
    <w:p>
      <w:pPr>
        <w:spacing w:after="200"/>
      </w:pPr>
      <w:r>
        <w:rPr>
          <w:rFonts w:ascii="Calibri" w:hAnsi="Calibri"/>
          <w:color w:val="1C5D99"/>
          <w:sz w:val="28"/>
        </w:rPr>
        <w:t>Fit the label-free parameters from telemetry and emit a deployable network — no fault history required</w:t>
      </w:r>
    </w:p>
    <w:p>
      <w:pPr>
        <w:pBdr>
          <w:bottom w:val="single" w:sz="10" w:space="4" w:color="0E7C86"/>
        </w:pBdr>
      </w:pPr>
    </w:p>
    <w:p>
      <w:pPr>
        <w:spacing w:after="0" w:before="0"/>
      </w:pPr>
      <w:r>
        <w:rPr>
          <w:sz w:val="16"/>
        </w:rPr>
      </w:r>
    </w:p>
    <w:p>
      <w:pPr>
        <w:spacing w:after="120"/>
      </w:pPr>
      <w:r>
        <w:rPr>
          <w:rFonts w:ascii="Calibri" w:hAnsi="Calibri"/>
          <w:i/>
          <w:color w:val="555F70"/>
          <w:sz w:val="23"/>
        </w:rPr>
        <w:t>A copy-paste walkthrough of the training half: what the trainer fits, how to run it, how to bring your own historian data, how to verify the result, and exactly where training hands off to deployment. Python is used here for initial fitting only; the runtime model is Java.</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Document</w:t>
            </w:r>
          </w:p>
        </w:tc>
        <w:tc>
          <w:tcPr>
            <w:tcW w:type="dxa" w:w="4586"/>
            <w:tcMar>
              <w:top w:w="40" w:type="dxa"/>
              <w:bottom w:w="40" w:type="dxa"/>
              <w:start w:w="0" w:type="dxa"/>
              <w:end w:w="0" w:type="dxa"/>
            </w:tcMar>
          </w:tcPr>
          <w:p>
            <w:pPr>
              <w:spacing w:after="0"/>
            </w:pPr>
            <w:r>
              <w:rPr>
                <w:rFonts w:ascii="Calibri" w:hAnsi="Calibri"/>
                <w:color w:val="141B2E"/>
                <w:sz w:val="19"/>
              </w:rPr>
              <w:t>Model Training Guide</w:t>
            </w:r>
          </w:p>
        </w:tc>
      </w:tr>
      <w:tr>
        <w:tc>
          <w:tcPr>
            <w:tcW w:type="dxa" w:w="4586"/>
            <w:tcMar>
              <w:top w:w="40" w:type="dxa"/>
              <w:bottom w:w="40" w:type="dxa"/>
              <w:start w:w="0" w:type="dxa"/>
              <w:end w:w="120" w:type="dxa"/>
            </w:tcMar>
          </w:tcPr>
          <w:p>
            <w:pPr>
              <w:spacing w:after="0"/>
            </w:pPr>
            <w:r>
              <w:rPr>
                <w:rFonts w:ascii="Calibri" w:hAnsi="Calibri"/>
                <w:b/>
                <w:color w:val="555F70"/>
                <w:sz w:val="19"/>
              </w:rPr>
              <w:t>Product</w:t>
            </w:r>
          </w:p>
        </w:tc>
        <w:tc>
          <w:tcPr>
            <w:tcW w:type="dxa" w:w="4586"/>
            <w:tcMar>
              <w:top w:w="40" w:type="dxa"/>
              <w:bottom w:w="40" w:type="dxa"/>
              <w:start w:w="0" w:type="dxa"/>
              <w:end w:w="0" w:type="dxa"/>
            </w:tcMar>
          </w:tcPr>
          <w:p>
            <w:pPr>
              <w:spacing w:after="0"/>
            </w:pPr>
            <w:r>
              <w:rPr>
                <w:rFonts w:ascii="Calibri" w:hAnsi="Calibri"/>
                <w:color w:val="141B2E"/>
                <w:sz w:val="19"/>
              </w:rPr>
              <w:t>Jneopallium Self-Supervised Maintenance Guardian</w:t>
            </w:r>
          </w:p>
        </w:tc>
      </w:tr>
      <w:tr>
        <w:tc>
          <w:tcPr>
            <w:tcW w:type="dxa" w:w="4586"/>
            <w:tcMar>
              <w:top w:w="40" w:type="dxa"/>
              <w:bottom w:w="40" w:type="dxa"/>
              <w:start w:w="0" w:type="dxa"/>
              <w:end w:w="120" w:type="dxa"/>
            </w:tcMar>
          </w:tcPr>
          <w:p>
            <w:pPr>
              <w:spacing w:after="0"/>
            </w:pPr>
            <w:r>
              <w:rPr>
                <w:rFonts w:ascii="Calibri" w:hAnsi="Calibri"/>
                <w:b/>
                <w:color w:val="555F70"/>
                <w:sz w:val="19"/>
              </w:rPr>
              <w:t>Trainer</w:t>
            </w:r>
          </w:p>
        </w:tc>
        <w:tc>
          <w:tcPr>
            <w:tcW w:type="dxa" w:w="4586"/>
            <w:tcMar>
              <w:top w:w="40" w:type="dxa"/>
              <w:bottom w:w="40" w:type="dxa"/>
              <w:start w:w="0" w:type="dxa"/>
              <w:end w:w="0" w:type="dxa"/>
            </w:tcMar>
          </w:tcPr>
          <w:p>
            <w:pPr>
              <w:spacing w:after="0"/>
            </w:pPr>
            <w:r>
              <w:rPr>
                <w:rFonts w:ascii="Calibri" w:hAnsi="Calibri"/>
                <w:color w:val="141B2E"/>
                <w:sz w:val="19"/>
              </w:rPr>
              <w:t>scripts/demo-self-supervised-maintenance/train_ss_maintenance_model.py</w:t>
            </w:r>
          </w:p>
        </w:tc>
      </w:tr>
      <w:tr>
        <w:tc>
          <w:tcPr>
            <w:tcW w:type="dxa" w:w="4586"/>
            <w:tcMar>
              <w:top w:w="40" w:type="dxa"/>
              <w:bottom w:w="40" w:type="dxa"/>
              <w:start w:w="0" w:type="dxa"/>
              <w:end w:w="120" w:type="dxa"/>
            </w:tcMar>
          </w:tcPr>
          <w:p>
            <w:pPr>
              <w:spacing w:after="0"/>
            </w:pPr>
            <w:r>
              <w:rPr>
                <w:rFonts w:ascii="Calibri" w:hAnsi="Calibri"/>
                <w:b/>
                <w:color w:val="555F70"/>
                <w:sz w:val="19"/>
              </w:rPr>
              <w:t>Labels used</w:t>
            </w:r>
          </w:p>
        </w:tc>
        <w:tc>
          <w:tcPr>
            <w:tcW w:type="dxa" w:w="4586"/>
            <w:tcMar>
              <w:top w:w="40" w:type="dxa"/>
              <w:bottom w:w="40" w:type="dxa"/>
              <w:start w:w="0" w:type="dxa"/>
              <w:end w:w="0" w:type="dxa"/>
            </w:tcMar>
          </w:tcPr>
          <w:p>
            <w:pPr>
              <w:spacing w:after="0"/>
            </w:pPr>
            <w:r>
              <w:rPr>
                <w:rFonts w:ascii="Calibri" w:hAnsi="Calibri"/>
                <w:color w:val="141B2E"/>
                <w:sz w:val="19"/>
              </w:rPr>
              <w:t>0 (self-supervised)</w:t>
            </w:r>
          </w:p>
        </w:tc>
      </w:tr>
      <w:tr>
        <w:tc>
          <w:tcPr>
            <w:tcW w:type="dxa" w:w="4586"/>
            <w:tcMar>
              <w:top w:w="40" w:type="dxa"/>
              <w:bottom w:w="40" w:type="dxa"/>
              <w:start w:w="0" w:type="dxa"/>
              <w:end w:w="120" w:type="dxa"/>
            </w:tcMar>
          </w:tcPr>
          <w:p>
            <w:pPr>
              <w:spacing w:after="0"/>
            </w:pPr>
            <w:r>
              <w:rPr>
                <w:rFonts w:ascii="Calibri" w:hAnsi="Calibri"/>
                <w:b/>
                <w:color w:val="555F70"/>
                <w:sz w:val="19"/>
              </w:rPr>
              <w:t>Output</w:t>
            </w:r>
          </w:p>
        </w:tc>
        <w:tc>
          <w:tcPr>
            <w:tcW w:type="dxa" w:w="4586"/>
            <w:tcMar>
              <w:top w:w="40" w:type="dxa"/>
              <w:bottom w:w="40" w:type="dxa"/>
              <w:start w:w="0" w:type="dxa"/>
              <w:end w:w="0" w:type="dxa"/>
            </w:tcMar>
          </w:tcPr>
          <w:p>
            <w:pPr>
              <w:spacing w:after="0"/>
            </w:pPr>
            <w:r>
              <w:rPr>
                <w:rFonts w:ascii="Calibri" w:hAnsi="Calibri"/>
                <w:color w:val="141B2E"/>
                <w:sz w:val="19"/>
              </w:rPr>
              <w:t>Deployable Jneopallium bundle (descriptor + context + layers)</w:t>
            </w:r>
          </w:p>
        </w:tc>
      </w:tr>
      <w:tr>
        <w:tc>
          <w:tcPr>
            <w:tcW w:type="dxa" w:w="4586"/>
            <w:tcMar>
              <w:top w:w="40" w:type="dxa"/>
              <w:bottom w:w="40" w:type="dxa"/>
              <w:start w:w="0" w:type="dxa"/>
              <w:end w:w="120" w:type="dxa"/>
            </w:tcMar>
          </w:tcPr>
          <w:p>
            <w:pPr>
              <w:spacing w:after="0"/>
            </w:pPr>
            <w:r>
              <w:rPr>
                <w:rFonts w:ascii="Calibri" w:hAnsi="Calibri"/>
                <w:b/>
                <w:color w:val="555F70"/>
                <w:sz w:val="19"/>
              </w:rPr>
              <w:t>Author</w:t>
            </w:r>
          </w:p>
        </w:tc>
        <w:tc>
          <w:tcPr>
            <w:tcW w:type="dxa" w:w="4586"/>
            <w:tcMar>
              <w:top w:w="40" w:type="dxa"/>
              <w:bottom w:w="40" w:type="dxa"/>
              <w:start w:w="0" w:type="dxa"/>
              <w:end w:w="0" w:type="dxa"/>
            </w:tcMar>
          </w:tcPr>
          <w:p>
            <w:pPr>
              <w:spacing w:after="0"/>
            </w:pPr>
            <w:r>
              <w:rPr>
                <w:rFonts w:ascii="Calibri" w:hAnsi="Calibri"/>
                <w:color w:val="141B2E"/>
                <w:sz w:val="19"/>
              </w:rPr>
              <w:t>Dmytro Rakovskyi — Kharkiv, Ukraine</w:t>
            </w:r>
          </w:p>
        </w:tc>
      </w:tr>
      <w:tr>
        <w:tc>
          <w:tcPr>
            <w:tcW w:type="dxa" w:w="4586"/>
            <w:tcMar>
              <w:top w:w="40" w:type="dxa"/>
              <w:bottom w:w="40" w:type="dxa"/>
              <w:start w:w="0" w:type="dxa"/>
              <w:end w:w="120" w:type="dxa"/>
            </w:tcMar>
          </w:tcPr>
          <w:p>
            <w:pPr>
              <w:spacing w:after="0"/>
            </w:pPr>
            <w:r>
              <w:rPr>
                <w:rFonts w:ascii="Calibri" w:hAnsi="Calibri"/>
                <w:b/>
                <w:color w:val="555F70"/>
                <w:sz w:val="19"/>
              </w:rPr>
              <w:t>Date</w:t>
            </w:r>
          </w:p>
        </w:tc>
        <w:tc>
          <w:tcPr>
            <w:tcW w:type="dxa" w:w="4586"/>
            <w:tcMar>
              <w:top w:w="40" w:type="dxa"/>
              <w:bottom w:w="40" w:type="dxa"/>
              <w:start w:w="0" w:type="dxa"/>
              <w:end w:w="0" w:type="dxa"/>
            </w:tcMar>
          </w:tcPr>
          <w:p>
            <w:pPr>
              <w:spacing w:after="0"/>
            </w:pPr>
            <w:r>
              <w:rPr>
                <w:rFonts w:ascii="Calibri" w:hAnsi="Calibri"/>
                <w:color w:val="141B2E"/>
                <w:sz w:val="19"/>
              </w:rPr>
              <w:t>2 July 2026</w:t>
            </w:r>
          </w:p>
        </w:tc>
      </w:tr>
      <w:tr>
        <w:tc>
          <w:tcPr>
            <w:tcW w:type="dxa" w:w="2448"/>
            <w:tcMar>
              <w:top w:w="40" w:type="dxa"/>
              <w:bottom w:w="40" w:type="dxa"/>
              <w:start w:w="0" w:type="dxa"/>
              <w:end w:w="120" w:type="dxa"/>
            </w:tcMar>
          </w:tcPr>
          <w:p>
            <w:pPr>
              <w:spacing w:after="0"/>
            </w:pPr>
            <w:r>
              <w:rPr>
                <w:rFonts w:ascii="Calibri" w:hAnsi="Calibri"/>
                <w:b/>
                <w:color w:val="555F70"/>
                <w:sz w:val="19"/>
              </w:rPr>
              <w:t>License</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0E7C86"/>
        </w:pBdr>
      </w:pPr>
      <w:r>
        <w:rPr>
          <w:rFonts w:ascii="Calibri" w:hAnsi="Calibri"/>
          <w:b/>
          <w:color w:val="102A54"/>
          <w:sz w:val="34"/>
        </w:rPr>
        <w:t>Contents</w:t>
      </w:r>
    </w:p>
    <w:p>
      <w:pPr>
        <w:spacing w:after="80"/>
        <w:ind w:left="144"/>
      </w:pPr>
      <w:r>
        <w:rPr>
          <w:rFonts w:ascii="Calibri" w:hAnsi="Calibri"/>
          <w:b/>
          <w:color w:val="0E7C86"/>
          <w:sz w:val="21"/>
        </w:rPr>
        <w:t xml:space="preserve"> 1.  </w:t>
      </w:r>
      <w:r>
        <w:rPr>
          <w:rFonts w:ascii="Calibri" w:hAnsi="Calibri"/>
          <w:color w:val="141B2E"/>
          <w:sz w:val="21"/>
        </w:rPr>
        <w:t>What you will achieve</w:t>
      </w:r>
    </w:p>
    <w:p>
      <w:pPr>
        <w:spacing w:after="80"/>
        <w:ind w:left="144"/>
      </w:pPr>
      <w:r>
        <w:rPr>
          <w:rFonts w:ascii="Calibri" w:hAnsi="Calibri"/>
          <w:b/>
          <w:color w:val="0E7C86"/>
          <w:sz w:val="21"/>
        </w:rPr>
        <w:t xml:space="preserve"> 2.  </w:t>
      </w:r>
      <w:r>
        <w:rPr>
          <w:rFonts w:ascii="Calibri" w:hAnsi="Calibri"/>
          <w:color w:val="141B2E"/>
          <w:sz w:val="21"/>
        </w:rPr>
        <w:t>Where training ends and deployment begins</w:t>
      </w:r>
    </w:p>
    <w:p>
      <w:pPr>
        <w:spacing w:after="80"/>
        <w:ind w:left="144"/>
      </w:pPr>
      <w:r>
        <w:rPr>
          <w:rFonts w:ascii="Calibri" w:hAnsi="Calibri"/>
          <w:b/>
          <w:color w:val="0E7C86"/>
          <w:sz w:val="21"/>
        </w:rPr>
        <w:t xml:space="preserve"> 3.  </w:t>
      </w:r>
      <w:r>
        <w:rPr>
          <w:rFonts w:ascii="Calibri" w:hAnsi="Calibri"/>
          <w:color w:val="141B2E"/>
          <w:sz w:val="21"/>
        </w:rPr>
        <w:t>Prerequisites</w:t>
      </w:r>
    </w:p>
    <w:p>
      <w:pPr>
        <w:spacing w:after="80"/>
        <w:ind w:left="144"/>
      </w:pPr>
      <w:r>
        <w:rPr>
          <w:rFonts w:ascii="Calibri" w:hAnsi="Calibri"/>
          <w:b/>
          <w:color w:val="0E7C86"/>
          <w:sz w:val="21"/>
        </w:rPr>
        <w:t xml:space="preserve"> 4.  </w:t>
      </w:r>
      <w:r>
        <w:rPr>
          <w:rFonts w:ascii="Calibri" w:hAnsi="Calibri"/>
          <w:color w:val="141B2E"/>
          <w:sz w:val="21"/>
        </w:rPr>
        <w:t>Step 1 — run the trainer</w:t>
      </w:r>
    </w:p>
    <w:p>
      <w:pPr>
        <w:spacing w:after="80"/>
        <w:ind w:left="144"/>
      </w:pPr>
      <w:r>
        <w:rPr>
          <w:rFonts w:ascii="Calibri" w:hAnsi="Calibri"/>
          <w:b/>
          <w:color w:val="0E7C86"/>
          <w:sz w:val="21"/>
        </w:rPr>
        <w:t xml:space="preserve"> 5.  </w:t>
      </w:r>
      <w:r>
        <w:rPr>
          <w:rFonts w:ascii="Calibri" w:hAnsi="Calibri"/>
          <w:color w:val="141B2E"/>
          <w:sz w:val="21"/>
        </w:rPr>
        <w:t>Step 2 — what it fitted (the parameters)</w:t>
      </w:r>
    </w:p>
    <w:p>
      <w:pPr>
        <w:spacing w:after="80"/>
        <w:ind w:left="144"/>
      </w:pPr>
      <w:r>
        <w:rPr>
          <w:rFonts w:ascii="Calibri" w:hAnsi="Calibri"/>
          <w:b/>
          <w:color w:val="0E7C86"/>
          <w:sz w:val="21"/>
        </w:rPr>
        <w:t xml:space="preserve"> 6.  </w:t>
      </w:r>
      <w:r>
        <w:rPr>
          <w:rFonts w:ascii="Calibri" w:hAnsi="Calibri"/>
          <w:color w:val="141B2E"/>
          <w:sz w:val="21"/>
        </w:rPr>
        <w:t>Step 3 — the bundle it produced</w:t>
      </w:r>
    </w:p>
    <w:p>
      <w:pPr>
        <w:spacing w:after="80"/>
        <w:ind w:left="144"/>
      </w:pPr>
      <w:r>
        <w:rPr>
          <w:rFonts w:ascii="Calibri" w:hAnsi="Calibri"/>
          <w:b/>
          <w:color w:val="0E7C86"/>
          <w:sz w:val="21"/>
        </w:rPr>
        <w:t xml:space="preserve"> 7.  </w:t>
      </w:r>
      <w:r>
        <w:rPr>
          <w:rFonts w:ascii="Calibri" w:hAnsi="Calibri"/>
          <w:color w:val="141B2E"/>
          <w:sz w:val="21"/>
        </w:rPr>
        <w:t>Step 4 — bring your own data</w:t>
      </w:r>
    </w:p>
    <w:p>
      <w:pPr>
        <w:spacing w:after="80"/>
        <w:ind w:left="144"/>
      </w:pPr>
      <w:r>
        <w:rPr>
          <w:rFonts w:ascii="Calibri" w:hAnsi="Calibri"/>
          <w:b/>
          <w:color w:val="0E7C86"/>
          <w:sz w:val="21"/>
        </w:rPr>
        <w:t xml:space="preserve"> 8.  </w:t>
      </w:r>
      <w:r>
        <w:rPr>
          <w:rFonts w:ascii="Calibri" w:hAnsi="Calibri"/>
          <w:color w:val="141B2E"/>
          <w:sz w:val="21"/>
        </w:rPr>
        <w:t>Step 5 — verify with the tests</w:t>
      </w:r>
    </w:p>
    <w:p>
      <w:pPr>
        <w:spacing w:after="80"/>
        <w:ind w:left="144"/>
      </w:pPr>
      <w:r>
        <w:rPr>
          <w:rFonts w:ascii="Calibri" w:hAnsi="Calibri"/>
          <w:b/>
          <w:color w:val="0E7C86"/>
          <w:sz w:val="21"/>
        </w:rPr>
        <w:t xml:space="preserve"> 9.  </w:t>
      </w:r>
      <w:r>
        <w:rPr>
          <w:rFonts w:ascii="Calibri" w:hAnsi="Calibri"/>
          <w:color w:val="141B2E"/>
          <w:sz w:val="21"/>
        </w:rPr>
        <w:t>Step 6 — the hand-off to deployment</w:t>
      </w:r>
    </w:p>
    <w:p>
      <w:pPr>
        <w:spacing w:after="80"/>
        <w:ind w:left="144"/>
      </w:pPr>
      <w:r>
        <w:rPr>
          <w:rFonts w:ascii="Calibri" w:hAnsi="Calibri"/>
          <w:b/>
          <w:color w:val="0E7C86"/>
          <w:sz w:val="21"/>
        </w:rPr>
        <w:t xml:space="preserve">10.  </w:t>
      </w:r>
      <w:r>
        <w:rPr>
          <w:rFonts w:ascii="Calibri" w:hAnsi="Calibri"/>
          <w:color w:val="141B2E"/>
          <w:sz w:val="21"/>
        </w:rPr>
        <w:t>Retraining and drift</w:t>
      </w:r>
    </w:p>
    <w:p>
      <w:pPr>
        <w:spacing w:after="80"/>
        <w:ind w:left="144"/>
      </w:pPr>
      <w:r>
        <w:rPr>
          <w:rFonts w:ascii="Calibri" w:hAnsi="Calibri"/>
          <w:b/>
          <w:color w:val="0E7C86"/>
          <w:sz w:val="21"/>
        </w:rPr>
        <w:t xml:space="preserve">11.  </w:t>
      </w:r>
      <w:r>
        <w:rPr>
          <w:rFonts w:ascii="Calibri" w:hAnsi="Calibri"/>
          <w:color w:val="141B2E"/>
          <w:sz w:val="21"/>
        </w:rPr>
        <w:t>Troubleshooting</w:t>
      </w:r>
    </w:p>
    <w:p>
      <w:pPr>
        <w:spacing w:after="80"/>
        <w:ind w:left="144"/>
      </w:pPr>
      <w:r>
        <w:rPr>
          <w:rFonts w:ascii="Calibri" w:hAnsi="Calibri"/>
          <w:b/>
          <w:color w:val="0E7C86"/>
          <w:sz w:val="21"/>
        </w:rPr>
        <w:t xml:space="preserve">12.  </w:t>
      </w:r>
      <w:r>
        <w:rPr>
          <w:rFonts w:ascii="Calibri" w:hAnsi="Calibri"/>
          <w:color w:val="141B2E"/>
          <w:sz w:val="21"/>
        </w:rPr>
        <w:t>Appendix — training cheat-sheet</w:t>
      </w:r>
    </w:p>
    <w:p>
      <w:r>
        <w:br w:type="page"/>
      </w:r>
    </w:p>
    <w:p>
      <w:pPr>
        <w:keepNext/>
        <w:spacing w:before="320" w:after="40"/>
        <w:pBdr>
          <w:bottom w:val="single" w:sz="10" w:space="4" w:color="0E7C86"/>
        </w:pBdr>
      </w:pPr>
      <w:r>
        <w:rPr>
          <w:rFonts w:ascii="Calibri" w:hAnsi="Calibri"/>
          <w:b/>
          <w:color w:val="0E7C86"/>
          <w:sz w:val="34"/>
        </w:rPr>
        <w:t xml:space="preserve">1  </w:t>
      </w:r>
      <w:r>
        <w:rPr>
          <w:rFonts w:ascii="Calibri" w:hAnsi="Calibri"/>
          <w:b/>
          <w:color w:val="102A54"/>
          <w:sz w:val="34"/>
        </w:rPr>
        <w:t>What you will achieve</w:t>
      </w:r>
    </w:p>
    <w:p>
      <w:pPr>
        <w:spacing w:after="120"/>
      </w:pPr>
      <w:r>
        <w:rPr>
          <w:rFonts w:ascii="Calibri" w:hAnsi="Calibri"/>
          <w:i w:val="0"/>
          <w:color w:val="141B2E"/>
          <w:sz w:val="21"/>
        </w:rPr>
        <w:t>By the end you will have a set of fitted, label-free parameters — per-regime standardisation, cross-sensor reconstruction weights, and health-baseline percentiles — written into a complete, deployable Jneopallium bundle that the Java runtime boots from directly. No failure labels are used at any point.</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The safety ceiling applies to training too</w:t>
            </w:r>
          </w:p>
          <w:p>
            <w:pPr>
              <w:spacing w:after="0"/>
            </w:pPr>
            <w:r>
              <w:rPr>
                <w:rFonts w:ascii="Calibri" w:hAnsi="Calibri"/>
                <w:i w:val="0"/>
                <w:color w:val="141B2E"/>
                <w:sz w:val="20"/>
              </w:rPr>
              <w:t>Nothing the trainer produces can actuate a device. The emitted model is advisory by construction (SsMaintConfig forbids disabling it), and severity is calibrated against healthy history — never against labelled failures, because there are none.</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2  </w:t>
      </w:r>
      <w:r>
        <w:rPr>
          <w:rFonts w:ascii="Calibri" w:hAnsi="Calibri"/>
          <w:b/>
          <w:color w:val="102A54"/>
          <w:sz w:val="34"/>
        </w:rPr>
        <w:t>Where training ends and deployment begins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0E7C86"/>
            <w:tcMar>
              <w:top w:w="60" w:type="dxa"/>
              <w:bottom w:w="60" w:type="dxa"/>
              <w:start w:w="110" w:type="dxa"/>
              <w:end w:w="110" w:type="dxa"/>
            </w:tcMar>
            <w:vAlign w:val="center"/>
          </w:tcPr>
          <w:p>
            <w:pPr>
              <w:spacing w:after="0"/>
            </w:pPr>
            <w:r>
              <w:rPr>
                <w:rFonts w:ascii="Calibri" w:hAnsi="Calibri"/>
                <w:b/>
                <w:color w:val="FFFFFF"/>
                <w:sz w:val="19"/>
              </w:rPr>
              <w:t>Phase</w:t>
            </w:r>
          </w:p>
        </w:tc>
        <w:tc>
          <w:tcPr>
            <w:tcW w:type="dxa" w:w="4752"/>
            <w:shd w:val="clear" w:color="auto" w:fill="0E7C86"/>
            <w:tcMar>
              <w:top w:w="60" w:type="dxa"/>
              <w:bottom w:w="60" w:type="dxa"/>
              <w:start w:w="110" w:type="dxa"/>
              <w:end w:w="110" w:type="dxa"/>
            </w:tcMar>
            <w:vAlign w:val="center"/>
          </w:tcPr>
          <w:p>
            <w:pPr>
              <w:spacing w:after="0"/>
            </w:pPr>
            <w:r>
              <w:rPr>
                <w:rFonts w:ascii="Calibri" w:hAnsi="Calibri"/>
                <w:b/>
                <w:color w:val="FFFFFF"/>
                <w:sz w:val="19"/>
              </w:rPr>
              <w:t>What happens</w:t>
            </w:r>
          </w:p>
        </w:tc>
        <w:tc>
          <w:tcPr>
            <w:tcW w:type="dxa" w:w="2304"/>
            <w:shd w:val="clear" w:color="auto" w:fill="0E7C86"/>
            <w:tcMar>
              <w:top w:w="60" w:type="dxa"/>
              <w:bottom w:w="60" w:type="dxa"/>
              <w:start w:w="110" w:type="dxa"/>
              <w:end w:w="110" w:type="dxa"/>
            </w:tcMar>
            <w:vAlign w:val="center"/>
          </w:tcPr>
          <w:p>
            <w:pPr>
              <w:spacing w:after="0"/>
            </w:pPr>
            <w:r>
              <w:rPr>
                <w:rFonts w:ascii="Calibri" w:hAnsi="Calibri"/>
                <w:b/>
                <w:color w:val="FFFFFF"/>
                <w:sz w:val="19"/>
              </w:rPr>
              <w:t>Document</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Training</w:t>
            </w:r>
            <w:r>
              <w:rPr>
                <w:rFonts w:ascii="Calibri" w:hAnsi="Calibri"/>
                <w:i w:val="0"/>
                <w:color w:val="141B2E"/>
                <w:sz w:val="19"/>
              </w:rPr>
              <w:t xml:space="preserve"> (this guide)</w:t>
            </w:r>
          </w:p>
        </w:tc>
        <w:tc>
          <w:tcPr>
            <w:tcW w:type="dxa" w:w="47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Fit standardisation, cross-sensor weights, baselines; emit the bundle</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Training Guide</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Deployment</w:t>
            </w:r>
          </w:p>
        </w:tc>
        <w:tc>
          <w:tcPr>
            <w:tcW w:type="dxa" w:w="47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Load the bundle, wire telemetry + feedback, run the advisory scorer</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Deployment Guide</w:t>
            </w:r>
          </w:p>
        </w:tc>
      </w:tr>
    </w:tbl>
    <w:p>
      <w:pPr>
        <w:spacing w:after="0" w:before="0"/>
      </w:pPr>
      <w:r>
        <w:rPr>
          <w:sz w:val="12"/>
        </w:rPr>
      </w:r>
    </w:p>
    <w:p>
      <w:pPr>
        <w:spacing w:after="120"/>
      </w:pPr>
      <w:r>
        <w:rPr>
          <w:rFonts w:ascii="Calibri" w:hAnsi="Calibri"/>
          <w:i w:val="0"/>
          <w:color w:val="141B2E"/>
          <w:sz w:val="21"/>
        </w:rPr>
        <w:t xml:space="preserve">The hand-off is one directory: worker/src/main/resources/model/self-supervised-maintenance/. Training </w:t>
      </w:r>
      <w:r>
        <w:rPr>
          <w:rFonts w:ascii="Calibri" w:hAnsi="Calibri"/>
          <w:b/>
          <w:i w:val="0"/>
          <w:color w:val="141B2E"/>
          <w:sz w:val="21"/>
        </w:rPr>
        <w:t>writes</w:t>
      </w:r>
      <w:r>
        <w:rPr>
          <w:rFonts w:ascii="Calibri" w:hAnsi="Calibri"/>
          <w:i w:val="0"/>
          <w:color w:val="141B2E"/>
          <w:sz w:val="21"/>
        </w:rPr>
        <w:t xml:space="preserve"> it; deployment </w:t>
      </w:r>
      <w:r>
        <w:rPr>
          <w:rFonts w:ascii="Calibri" w:hAnsi="Calibri"/>
          <w:b/>
          <w:i w:val="0"/>
          <w:color w:val="141B2E"/>
          <w:sz w:val="21"/>
        </w:rPr>
        <w:t>reads</w:t>
      </w:r>
      <w:r>
        <w:rPr>
          <w:rFonts w:ascii="Calibri" w:hAnsi="Calibri"/>
          <w:i w:val="0"/>
          <w:color w:val="141B2E"/>
          <w:sz w:val="21"/>
        </w:rPr>
        <w:t xml:space="preserve"> it.</w:t>
      </w:r>
    </w:p>
    <w:p>
      <w:pPr>
        <w:keepNext/>
        <w:spacing w:before="320" w:after="40"/>
        <w:pBdr>
          <w:bottom w:val="single" w:sz="10" w:space="4" w:color="0E7C86"/>
        </w:pBdr>
      </w:pPr>
      <w:r>
        <w:rPr>
          <w:rFonts w:ascii="Calibri" w:hAnsi="Calibri"/>
          <w:b/>
          <w:color w:val="0E7C86"/>
          <w:sz w:val="34"/>
        </w:rPr>
        <w:t xml:space="preserve">3  </w:t>
      </w:r>
      <w:r>
        <w:rPr>
          <w:rFonts w:ascii="Calibri" w:hAnsi="Calibri"/>
          <w:b/>
          <w:color w:val="102A54"/>
          <w:sz w:val="34"/>
        </w:rPr>
        <w:t>Prerequisites</w:t>
      </w:r>
    </w:p>
    <w:p>
      <w:pPr>
        <w:pStyle w:val="ListBullet"/>
        <w:spacing w:after="60" w:line="269" w:lineRule="auto"/>
        <w:ind w:left="403"/>
      </w:pPr>
      <w:r>
        <w:rPr>
          <w:rFonts w:ascii="Calibri" w:hAnsi="Calibri"/>
          <w:i w:val="0"/>
          <w:color w:val="141B2E"/>
          <w:sz w:val="21"/>
        </w:rPr>
        <w:t>Python 3.9+ (standard library only — no pip install needed).</w:t>
      </w:r>
    </w:p>
    <w:p>
      <w:pPr>
        <w:pStyle w:val="ListBullet"/>
        <w:spacing w:after="60" w:line="269" w:lineRule="auto"/>
        <w:ind w:left="403"/>
      </w:pPr>
      <w:r>
        <w:rPr>
          <w:rFonts w:ascii="Calibri" w:hAnsi="Calibri"/>
          <w:i w:val="0"/>
          <w:color w:val="141B2E"/>
          <w:sz w:val="21"/>
        </w:rPr>
        <w:t>A JDK 17 toolchain and Maven if you also want to run the Java runtime tests.</w:t>
      </w:r>
    </w:p>
    <w:p>
      <w:pPr>
        <w:pStyle w:val="ListBullet"/>
        <w:spacing w:after="60" w:line="269" w:lineRule="auto"/>
        <w:ind w:left="403"/>
      </w:pPr>
      <w:r>
        <w:rPr>
          <w:rFonts w:ascii="Calibri" w:hAnsi="Calibri"/>
          <w:i w:val="0"/>
          <w:color w:val="141B2E"/>
          <w:sz w:val="21"/>
        </w:rPr>
        <w:t>The repository checked out; commands below are run from the repo root.</w:t>
      </w:r>
    </w:p>
    <w:p>
      <w:pPr>
        <w:keepNext/>
        <w:spacing w:before="320" w:after="40"/>
        <w:pBdr>
          <w:bottom w:val="single" w:sz="10" w:space="4" w:color="0E7C86"/>
        </w:pBdr>
      </w:pPr>
      <w:r>
        <w:rPr>
          <w:rFonts w:ascii="Calibri" w:hAnsi="Calibri"/>
          <w:b/>
          <w:color w:val="0E7C86"/>
          <w:sz w:val="34"/>
        </w:rPr>
        <w:t xml:space="preserve">4  </w:t>
      </w:r>
      <w:r>
        <w:rPr>
          <w:rFonts w:ascii="Calibri" w:hAnsi="Calibri"/>
          <w:b/>
          <w:color w:val="102A54"/>
          <w:sz w:val="34"/>
        </w:rPr>
        <w:t>Step 1 — run the trainer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cd scripts/demo-self-supervised-maintenance</w:t>
            </w:r>
          </w:p>
          <w:p>
            <w:pPr>
              <w:spacing w:after="0" w:line="254" w:lineRule="auto"/>
            </w:pPr>
            <w:r>
              <w:rPr>
                <w:rFonts w:ascii="Consolas" w:hAnsi="Consolas"/>
                <w:color w:val="D6E7C8"/>
                <w:sz w:val="18"/>
              </w:rPr>
              <w:t>python train_ss_maintenance_model.py</w:t>
            </w:r>
          </w:p>
        </w:tc>
      </w:tr>
    </w:tbl>
    <w:p>
      <w:pPr>
        <w:spacing w:after="0" w:before="0"/>
      </w:pPr>
      <w:r>
        <w:rPr>
          <w:sz w:val="8"/>
        </w:rPr>
      </w:r>
    </w:p>
    <w:p>
      <w:pPr>
        <w:spacing w:after="120"/>
      </w:pPr>
      <w:r>
        <w:rPr>
          <w:rFonts w:ascii="Calibri" w:hAnsi="Calibri"/>
          <w:i w:val="0"/>
          <w:color w:val="141B2E"/>
          <w:sz w:val="21"/>
        </w:rPr>
        <w:t>Expected output (values are deterministic for the shipped synthetic corpus):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Self-Supervised Maintenance — initial (label-free) training</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Trained on 6 assets x 2000 ticks, labels used: 0</w:t>
            </w:r>
          </w:p>
          <w:p>
            <w:pPr>
              <w:spacing w:after="0" w:line="254" w:lineRule="auto"/>
            </w:pPr>
            <w:r>
              <w:rPr>
                <w:rFonts w:ascii="Consolas" w:hAnsi="Consolas"/>
                <w:color w:val="D6E7C8"/>
                <w:sz w:val="18"/>
              </w:rPr>
              <w:t xml:space="preserve">  Sensors                 : 8</w:t>
            </w:r>
          </w:p>
          <w:p>
            <w:pPr>
              <w:spacing w:after="0" w:line="254" w:lineRule="auto"/>
            </w:pPr>
            <w:r>
              <w:rPr>
                <w:rFonts w:ascii="Consolas" w:hAnsi="Consolas"/>
                <w:color w:val="D6E7C8"/>
                <w:sz w:val="18"/>
              </w:rPr>
              <w:t xml:space="preserve">  Health baseline mean    : 0.7781</w:t>
            </w:r>
          </w:p>
          <w:p>
            <w:pPr>
              <w:spacing w:after="0" w:line="254" w:lineRule="auto"/>
            </w:pPr>
            <w:r>
              <w:rPr>
                <w:rFonts w:ascii="Consolas" w:hAnsi="Consolas"/>
                <w:color w:val="D6E7C8"/>
                <w:sz w:val="18"/>
              </w:rPr>
              <w:t xml:space="preserve">  Health baseline p99     : 2.0808</w:t>
            </w:r>
          </w:p>
          <w:p>
            <w:pPr>
              <w:spacing w:after="0" w:line="254" w:lineRule="auto"/>
            </w:pPr>
            <w:r>
              <w:rPr>
                <w:rFonts w:ascii="Consolas" w:hAnsi="Consolas"/>
                <w:color w:val="D6E7C8"/>
                <w:sz w:val="18"/>
              </w:rPr>
              <w:t xml:space="preserve">  Health baseline p999    : 2.7544</w:t>
            </w:r>
          </w:p>
          <w:p>
            <w:pPr>
              <w:spacing w:after="0" w:line="254" w:lineRule="auto"/>
            </w:pPr>
            <w:r>
              <w:rPr>
                <w:rFonts w:ascii="Consolas" w:hAnsi="Consolas"/>
                <w:color w:val="D6E7C8"/>
                <w:sz w:val="18"/>
              </w:rPr>
              <w:t xml:space="preserve">  Neurons in bundle       : 4</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Deployable bundle -&gt; worker/src/main/resources/model/self-supervised-maintenance</w:t>
            </w:r>
          </w:p>
        </w:tc>
      </w:tr>
    </w:tbl>
    <w:p>
      <w:pPr>
        <w:spacing w:after="0" w:before="0"/>
      </w:pPr>
      <w:r>
        <w:rPr>
          <w:sz w:val="8"/>
        </w:rPr>
      </w:r>
    </w:p>
    <w:p>
      <w:pPr>
        <w:spacing w:after="120"/>
      </w:pPr>
      <w:r>
        <w:rPr>
          <w:rFonts w:ascii="Consolas" w:hAnsi="Consolas"/>
          <w:color w:val="102A54"/>
          <w:sz w:val="20"/>
        </w:rPr>
        <w:t>run_all.sh</w:t>
      </w:r>
      <w:r>
        <w:rPr>
          <w:rFonts w:ascii="Calibri" w:hAnsi="Calibri"/>
          <w:i w:val="0"/>
          <w:color w:val="141B2E"/>
          <w:sz w:val="21"/>
        </w:rPr>
        <w:t xml:space="preserve"> (or </w:t>
      </w:r>
      <w:r>
        <w:rPr>
          <w:rFonts w:ascii="Consolas" w:hAnsi="Consolas"/>
          <w:color w:val="102A54"/>
          <w:sz w:val="20"/>
        </w:rPr>
        <w:t>run_all.ps1</w:t>
      </w:r>
      <w:r>
        <w:rPr>
          <w:rFonts w:ascii="Calibri" w:hAnsi="Calibri"/>
          <w:i w:val="0"/>
          <w:color w:val="141B2E"/>
          <w:sz w:val="21"/>
        </w:rPr>
        <w:t>) runs the trainer and then the Python tests in one go.</w:t>
      </w:r>
    </w:p>
    <w:p>
      <w:pPr>
        <w:keepNext/>
        <w:spacing w:before="320" w:after="40"/>
        <w:pBdr>
          <w:bottom w:val="single" w:sz="10" w:space="4" w:color="0E7C86"/>
        </w:pBdr>
      </w:pPr>
      <w:r>
        <w:rPr>
          <w:rFonts w:ascii="Calibri" w:hAnsi="Calibri"/>
          <w:b/>
          <w:color w:val="0E7C86"/>
          <w:sz w:val="34"/>
        </w:rPr>
        <w:t xml:space="preserve">5  </w:t>
      </w:r>
      <w:r>
        <w:rPr>
          <w:rFonts w:ascii="Calibri" w:hAnsi="Calibri"/>
          <w:b/>
          <w:color w:val="102A54"/>
          <w:sz w:val="34"/>
        </w:rPr>
        <w:t>Step 2 — what it fitted (the parameters)</w:t>
      </w:r>
    </w:p>
    <w:p>
      <w:pPr>
        <w:spacing w:after="120"/>
      </w:pPr>
      <w:r>
        <w:rPr>
          <w:rFonts w:ascii="Calibri" w:hAnsi="Calibri"/>
          <w:i w:val="0"/>
          <w:color w:val="141B2E"/>
          <w:sz w:val="21"/>
        </w:rPr>
        <w:t>All three parameter groups are self-supervised — fitted from telemetry alone, on a trusted-healthy window:</w:t>
      </w:r>
    </w:p>
    <w:p>
      <w:pPr>
        <w:pStyle w:val="ListBullet"/>
        <w:spacing w:after="60" w:line="269" w:lineRule="auto"/>
        <w:ind w:left="403"/>
      </w:pPr>
      <w:r>
        <w:rPr>
          <w:rFonts w:ascii="Calibri" w:hAnsi="Calibri"/>
          <w:b/>
          <w:i w:val="0"/>
          <w:color w:val="141B2E"/>
          <w:sz w:val="21"/>
        </w:rPr>
        <w:t>Per-regime standardisation</w:t>
      </w:r>
      <w:r>
        <w:rPr>
          <w:rFonts w:ascii="Calibri" w:hAnsi="Calibri"/>
          <w:i w:val="0"/>
          <w:color w:val="141B2E"/>
          <w:sz w:val="21"/>
        </w:rPr>
        <w:t xml:space="preserve"> — the mean and standard deviation of every sensor in every operating regime, so a reading is judged relative to its load.</w:t>
      </w:r>
    </w:p>
    <w:p>
      <w:pPr>
        <w:pStyle w:val="ListBullet"/>
        <w:spacing w:after="60" w:line="269" w:lineRule="auto"/>
        <w:ind w:left="403"/>
      </w:pPr>
      <w:r>
        <w:rPr>
          <w:rFonts w:ascii="Calibri" w:hAnsi="Calibri"/>
          <w:b/>
          <w:i w:val="0"/>
          <w:color w:val="141B2E"/>
          <w:sz w:val="21"/>
        </w:rPr>
        <w:t>Cross-sensor reconstruction weights</w:t>
      </w:r>
      <w:r>
        <w:rPr>
          <w:rFonts w:ascii="Calibri" w:hAnsi="Calibri"/>
          <w:i w:val="0"/>
          <w:color w:val="141B2E"/>
          <w:sz w:val="21"/>
        </w:rPr>
        <w:t xml:space="preserve"> — for each sensor, a ridge-regression model that predicts it from the other sensors. This is the label-free core: the target of each fit is another sensor, never a failure label.</w:t>
      </w:r>
    </w:p>
    <w:p>
      <w:pPr>
        <w:pStyle w:val="ListBullet"/>
        <w:spacing w:after="60" w:line="269" w:lineRule="auto"/>
        <w:ind w:left="403"/>
      </w:pPr>
      <w:r>
        <w:rPr>
          <w:rFonts w:ascii="Calibri" w:hAnsi="Calibri"/>
          <w:b/>
          <w:i w:val="0"/>
          <w:color w:val="141B2E"/>
          <w:sz w:val="21"/>
        </w:rPr>
        <w:t>Health-baseline percentiles</w:t>
      </w:r>
      <w:r>
        <w:rPr>
          <w:rFonts w:ascii="Calibri" w:hAnsi="Calibri"/>
          <w:i w:val="0"/>
          <w:color w:val="141B2E"/>
          <w:sz w:val="21"/>
        </w:rPr>
        <w:t xml:space="preserve"> — the mean, p95, p99 and p999 of the reconstruction error over the healthy window, used to calibrate severity in the asset's own units.</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Why ridge regression</w:t>
            </w:r>
          </w:p>
          <w:p>
            <w:pPr>
              <w:spacing w:after="0"/>
            </w:pPr>
            <w:r>
              <w:rPr>
                <w:rFonts w:ascii="Calibri" w:hAnsi="Calibri"/>
                <w:i w:val="0"/>
                <w:color w:val="141B2E"/>
                <w:sz w:val="20"/>
              </w:rPr>
              <w:t>A small ridge (L2) penalty keeps the cross-sensor models stable when sensors are correlated — which, on a coupled skid, they always are. The solver is a plain normal-equation solve in pure Python; no third-party linear-algebra package is required.</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6  </w:t>
      </w:r>
      <w:r>
        <w:rPr>
          <w:rFonts w:ascii="Calibri" w:hAnsi="Calibri"/>
          <w:b/>
          <w:color w:val="102A54"/>
          <w:sz w:val="34"/>
        </w:rPr>
        <w:t>Step 3 — the bundle it produced</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176"/>
            <w:shd w:val="clear" w:color="auto" w:fill="0E7C86"/>
            <w:tcMar>
              <w:top w:w="60" w:type="dxa"/>
              <w:bottom w:w="60" w:type="dxa"/>
              <w:start w:w="110" w:type="dxa"/>
              <w:end w:w="110" w:type="dxa"/>
            </w:tcMar>
            <w:vAlign w:val="center"/>
          </w:tcPr>
          <w:p>
            <w:pPr>
              <w:spacing w:after="0"/>
            </w:pPr>
            <w:r>
              <w:rPr>
                <w:rFonts w:ascii="Calibri" w:hAnsi="Calibri"/>
                <w:b/>
                <w:color w:val="FFFFFF"/>
                <w:sz w:val="19"/>
              </w:rPr>
              <w:t>File</w:t>
            </w:r>
          </w:p>
        </w:tc>
        <w:tc>
          <w:tcPr>
            <w:tcW w:type="dxa" w:w="4896"/>
            <w:shd w:val="clear" w:color="auto" w:fill="0E7C86"/>
            <w:tcMar>
              <w:top w:w="60" w:type="dxa"/>
              <w:bottom w:w="60" w:type="dxa"/>
              <w:start w:w="110" w:type="dxa"/>
              <w:end w:w="110" w:type="dxa"/>
            </w:tcMar>
            <w:vAlign w:val="center"/>
          </w:tcPr>
          <w:p>
            <w:pPr>
              <w:spacing w:after="0"/>
            </w:pPr>
            <w:r>
              <w:rPr>
                <w:rFonts w:ascii="Calibri" w:hAnsi="Calibri"/>
                <w:b/>
                <w:color w:val="FFFFFF"/>
                <w:sz w:val="19"/>
              </w:rPr>
              <w:t>Purpose</w:t>
            </w:r>
          </w:p>
        </w:tc>
      </w:tr>
      <w:tr>
        <w:tc>
          <w:tcPr>
            <w:tcW w:type="dxa" w:w="41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model-descriptor.json</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Manifest: layers, signals, data sources, labelFree=true, labelsUsed=0</w:t>
            </w:r>
          </w:p>
        </w:tc>
      </w:tr>
      <w:tr>
        <w:tc>
          <w:tcPr>
            <w:tcW w:type="dxa" w:w="41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production-context.json</w:t>
            </w:r>
          </w:p>
        </w:tc>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IContext for the Entry runner (neuron classes, inputs, aggregator)</w:t>
            </w:r>
          </w:p>
        </w:tc>
      </w:tr>
      <w:tr>
        <w:tc>
          <w:tcPr>
            <w:tcW w:type="dxa" w:w="41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layer-0-input.json</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Telemetry ingest descriptor + sensor order</w:t>
            </w:r>
          </w:p>
        </w:tc>
      </w:tr>
      <w:tr>
        <w:tc>
          <w:tcPr>
            <w:tcW w:type="dxa" w:w="41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layer-1-selfsupervisedhealth.json</w:t>
            </w:r>
          </w:p>
        </w:tc>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Reconstruction neuron + fitted weights &amp; standardisation</w:t>
            </w:r>
          </w:p>
        </w:tc>
      </w:tr>
      <w:tr>
        <w:tc>
          <w:tcPr>
            <w:tcW w:type="dxa" w:w="41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layer-2-fusion.json</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Hypothesis neuron + baseline percentiles + fusion constants</w:t>
            </w:r>
          </w:p>
        </w:tc>
      </w:tr>
      <w:tr>
        <w:tc>
          <w:tcPr>
            <w:tcW w:type="dxa" w:w="41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layer-3-onlinelearning.json</w:t>
            </w:r>
          </w:p>
        </w:tc>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Feedback-adaptation neuron + bounds/rate-limit/freeze</w:t>
            </w:r>
          </w:p>
        </w:tc>
      </w:tr>
      <w:tr>
        <w:tc>
          <w:tcPr>
            <w:tcW w:type="dxa" w:w="417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layer-4-advisorygate.json</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Read-only gate + initial thresholds + dedup window</w:t>
            </w:r>
          </w:p>
        </w:tc>
      </w:tr>
      <w:tr>
        <w:tc>
          <w:tcPr>
            <w:tcW w:type="dxa" w:w="417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fitted-model.json</w:t>
            </w:r>
          </w:p>
        </w:tc>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Raw fitted parameters for audit / reference</w:t>
            </w:r>
          </w:p>
        </w:tc>
      </w:tr>
    </w:tbl>
    <w:p>
      <w:pPr>
        <w:spacing w:after="0" w:before="0"/>
      </w:pPr>
      <w:r>
        <w:rPr>
          <w:sz w:val="12"/>
        </w:rPr>
      </w:r>
    </w:p>
    <w:p>
      <w:pPr>
        <w:spacing w:after="120"/>
      </w:pPr>
      <w:r>
        <w:rPr>
          <w:rFonts w:ascii="Calibri" w:hAnsi="Calibri"/>
          <w:i w:val="0"/>
          <w:color w:val="141B2E"/>
          <w:sz w:val="21"/>
        </w:rPr>
        <w:t>The layer files carry the parameters as neuron fields, so the files that record your fit are the files the runtime binds. This mirrors the industrial model's bundle layout.</w:t>
      </w:r>
    </w:p>
    <w:p>
      <w:pPr>
        <w:keepNext/>
        <w:spacing w:before="320" w:after="40"/>
        <w:pBdr>
          <w:bottom w:val="single" w:sz="10" w:space="4" w:color="0E7C86"/>
        </w:pBdr>
      </w:pPr>
      <w:r>
        <w:rPr>
          <w:rFonts w:ascii="Calibri" w:hAnsi="Calibri"/>
          <w:b/>
          <w:color w:val="0E7C86"/>
          <w:sz w:val="34"/>
        </w:rPr>
        <w:t xml:space="preserve">7  </w:t>
      </w:r>
      <w:r>
        <w:rPr>
          <w:rFonts w:ascii="Calibri" w:hAnsi="Calibri"/>
          <w:b/>
          <w:color w:val="102A54"/>
          <w:sz w:val="34"/>
        </w:rPr>
        <w:t>Step 4 — bring your own data</w:t>
      </w:r>
    </w:p>
    <w:p>
      <w:pPr>
        <w:spacing w:after="120"/>
      </w:pPr>
      <w:r>
        <w:rPr>
          <w:rFonts w:ascii="Calibri" w:hAnsi="Calibri"/>
          <w:i w:val="0"/>
          <w:color w:val="141B2E"/>
          <w:sz w:val="21"/>
        </w:rPr>
        <w:t xml:space="preserve">For a real site, replace the synthetic generator with your historian export. The trainer reads a list of per-tick rows through </w:t>
      </w:r>
      <w:r>
        <w:rPr>
          <w:rFonts w:ascii="Consolas" w:hAnsi="Consolas"/>
          <w:color w:val="102A54"/>
          <w:sz w:val="20"/>
        </w:rPr>
        <w:t>synth_telemetry.generate</w:t>
      </w:r>
      <w:r>
        <w:rPr>
          <w:rFonts w:ascii="Calibri" w:hAnsi="Calibri"/>
          <w:i w:val="0"/>
          <w:color w:val="141B2E"/>
          <w:sz w:val="21"/>
        </w:rPr>
        <w:t>; point it at your data instead. Each canonical row must have:</w:t>
      </w:r>
    </w:p>
    <w:p>
      <w:pPr>
        <w:pStyle w:val="ListBullet"/>
        <w:spacing w:after="60" w:line="269" w:lineRule="auto"/>
        <w:ind w:left="403"/>
      </w:pPr>
      <w:r>
        <w:rPr>
          <w:rFonts w:ascii="Calibri" w:hAnsi="Calibri"/>
          <w:i w:val="0"/>
          <w:color w:val="141B2E"/>
          <w:sz w:val="21"/>
        </w:rPr>
        <w:t xml:space="preserve">The same </w:t>
      </w:r>
      <w:r>
        <w:rPr>
          <w:rFonts w:ascii="Calibri" w:hAnsi="Calibri"/>
          <w:b/>
          <w:i w:val="0"/>
          <w:color w:val="141B2E"/>
          <w:sz w:val="21"/>
        </w:rPr>
        <w:t>sensor names</w:t>
      </w:r>
      <w:r>
        <w:rPr>
          <w:rFonts w:ascii="Calibri" w:hAnsi="Calibri"/>
          <w:i w:val="0"/>
          <w:color w:val="141B2E"/>
          <w:sz w:val="21"/>
        </w:rPr>
        <w:t xml:space="preserve"> the model expects (or edit </w:t>
      </w:r>
      <w:r>
        <w:rPr>
          <w:rFonts w:ascii="Consolas" w:hAnsi="Consolas"/>
          <w:color w:val="102A54"/>
          <w:sz w:val="20"/>
        </w:rPr>
        <w:t>SENSORS</w:t>
      </w:r>
      <w:r>
        <w:rPr>
          <w:rFonts w:ascii="Calibri" w:hAnsi="Calibri"/>
          <w:i w:val="0"/>
          <w:color w:val="141B2E"/>
          <w:sz w:val="21"/>
        </w:rPr>
        <w:t xml:space="preserve"> to match your tag set).</w:t>
      </w:r>
    </w:p>
    <w:p>
      <w:pPr>
        <w:pStyle w:val="ListBullet"/>
        <w:spacing w:after="60" w:line="269" w:lineRule="auto"/>
        <w:ind w:left="403"/>
      </w:pPr>
      <w:r>
        <w:rPr>
          <w:rFonts w:ascii="Calibri" w:hAnsi="Calibri"/>
          <w:i w:val="0"/>
          <w:color w:val="141B2E"/>
          <w:sz w:val="21"/>
        </w:rPr>
        <w:t xml:space="preserve">An integer </w:t>
      </w:r>
      <w:r>
        <w:rPr>
          <w:rFonts w:ascii="Calibri" w:hAnsi="Calibri"/>
          <w:b/>
          <w:i w:val="0"/>
          <w:color w:val="141B2E"/>
          <w:sz w:val="21"/>
        </w:rPr>
        <w:t>regime</w:t>
      </w:r>
      <w:r>
        <w:rPr>
          <w:rFonts w:ascii="Calibri" w:hAnsi="Calibri"/>
          <w:i w:val="0"/>
          <w:color w:val="141B2E"/>
          <w:sz w:val="21"/>
        </w:rPr>
        <w:t xml:space="preserve"> column (operating point / load band). If you don't have one, derive it from a load or power band.</w:t>
      </w:r>
    </w:p>
    <w:p>
      <w:pPr>
        <w:pStyle w:val="ListBullet"/>
        <w:spacing w:after="60" w:line="269" w:lineRule="auto"/>
        <w:ind w:left="403"/>
      </w:pPr>
      <w:r>
        <w:rPr>
          <w:rFonts w:ascii="Calibri" w:hAnsi="Calibri"/>
          <w:b/>
          <w:i w:val="0"/>
          <w:color w:val="141B2E"/>
          <w:sz w:val="21"/>
        </w:rPr>
        <w:t>No labels.</w:t>
      </w:r>
      <w:r>
        <w:rPr>
          <w:rFonts w:ascii="Calibri" w:hAnsi="Calibri"/>
          <w:i w:val="0"/>
          <w:color w:val="141B2E"/>
          <w:sz w:val="21"/>
        </w:rPr>
        <w:t xml:space="preserve"> The training window should be </w:t>
      </w:r>
      <w:r>
        <w:rPr>
          <w:rFonts w:ascii="Calibri" w:hAnsi="Calibri"/>
          <w:b/>
          <w:i w:val="0"/>
          <w:color w:val="141B2E"/>
          <w:sz w:val="21"/>
        </w:rPr>
        <w:t>mostly healthy</w:t>
      </w:r>
      <w:r>
        <w:rPr>
          <w:rFonts w:ascii="Calibri" w:hAnsi="Calibri"/>
          <w:i w:val="0"/>
          <w:color w:val="141B2E"/>
          <w:sz w:val="21"/>
        </w:rPr>
        <w:t xml:space="preserve"> — this is the one assumption that matters. If an asset was already faulty during the window, exclude that period so it does not poison 'normal.'</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Fleet baselines for cold starts</w:t>
            </w:r>
          </w:p>
          <w:p>
            <w:pPr>
              <w:spacing w:after="0"/>
            </w:pPr>
            <w:r>
              <w:rPr>
                <w:rFonts w:ascii="Calibri" w:hAnsi="Calibri"/>
                <w:i w:val="0"/>
                <w:color w:val="141B2E"/>
                <w:sz w:val="20"/>
              </w:rPr>
              <w:t>If an asset has too little history to define its own normal, fit against sibling assets in the same regime. The model reports domain-shift and uncertainty so an unfamiliar asset reads as 'watching' rather than making confident claims.</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8  </w:t>
      </w:r>
      <w:r>
        <w:rPr>
          <w:rFonts w:ascii="Calibri" w:hAnsi="Calibri"/>
          <w:b/>
          <w:color w:val="102A54"/>
          <w:sz w:val="34"/>
        </w:rPr>
        <w:t>Step 5 — verify with the tests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cd scripts/demo-self-supervised-maintenance</w:t>
            </w:r>
          </w:p>
          <w:p>
            <w:pPr>
              <w:spacing w:after="0" w:line="254" w:lineRule="auto"/>
            </w:pPr>
            <w:r>
              <w:rPr>
                <w:rFonts w:ascii="Consolas" w:hAnsi="Consolas"/>
                <w:color w:val="D6E7C8"/>
                <w:sz w:val="18"/>
              </w:rPr>
              <w:t>python -m unittest tests.test_ss_maintenance -v</w:t>
            </w:r>
          </w:p>
        </w:tc>
      </w:tr>
    </w:tbl>
    <w:p>
      <w:pPr>
        <w:spacing w:after="0" w:before="0"/>
      </w:pPr>
      <w:r>
        <w:rPr>
          <w:sz w:val="8"/>
        </w:rPr>
      </w:r>
    </w:p>
    <w:p>
      <w:pPr>
        <w:spacing w:after="120"/>
      </w:pPr>
      <w:r>
        <w:rPr>
          <w:rFonts w:ascii="Calibri" w:hAnsi="Calibri"/>
          <w:i w:val="0"/>
          <w:color w:val="141B2E"/>
          <w:sz w:val="21"/>
        </w:rPr>
        <w:t>The Python tests confirm the trainer produced a sound model:</w:t>
      </w:r>
    </w:p>
    <w:p>
      <w:pPr>
        <w:pStyle w:val="ListBullet"/>
        <w:spacing w:after="60" w:line="269" w:lineRule="auto"/>
        <w:ind w:left="403"/>
      </w:pPr>
      <w:r>
        <w:rPr>
          <w:rFonts w:ascii="Calibri" w:hAnsi="Calibri"/>
          <w:i w:val="0"/>
          <w:color w:val="141B2E"/>
          <w:sz w:val="21"/>
        </w:rPr>
        <w:t>baseline percentiles are correctly ordered (mean &lt; p95 &lt; p99 &lt; p999);</w:t>
      </w:r>
    </w:p>
    <w:p>
      <w:pPr>
        <w:pStyle w:val="ListBullet"/>
        <w:spacing w:after="60" w:line="269" w:lineRule="auto"/>
        <w:ind w:left="403"/>
      </w:pPr>
      <w:r>
        <w:rPr>
          <w:rFonts w:ascii="Calibri" w:hAnsi="Calibri"/>
          <w:i w:val="0"/>
          <w:color w:val="141B2E"/>
          <w:sz w:val="21"/>
        </w:rPr>
        <w:t>all cross-sensor weights are finite;</w:t>
      </w:r>
    </w:p>
    <w:p>
      <w:pPr>
        <w:pStyle w:val="ListBullet"/>
        <w:spacing w:after="60" w:line="269" w:lineRule="auto"/>
        <w:ind w:left="403"/>
      </w:pPr>
      <w:r>
        <w:rPr>
          <w:rFonts w:ascii="Calibri" w:hAnsi="Calibri"/>
          <w:i w:val="0"/>
          <w:color w:val="141B2E"/>
          <w:sz w:val="21"/>
        </w:rPr>
        <w:t>healthy frames rarely exceed the asset's own p99 (nuisance rate under 5%);</w:t>
      </w:r>
    </w:p>
    <w:p>
      <w:pPr>
        <w:pStyle w:val="ListBullet"/>
        <w:spacing w:after="60" w:line="269" w:lineRule="auto"/>
        <w:ind w:left="403"/>
      </w:pPr>
      <w:r>
        <w:rPr>
          <w:rFonts w:ascii="Calibri" w:hAnsi="Calibri"/>
          <w:b/>
          <w:i w:val="0"/>
          <w:color w:val="141B2E"/>
          <w:sz w:val="21"/>
        </w:rPr>
        <w:t>every injected fault family is separated from the healthy baseline without labels</w:t>
      </w:r>
      <w:r>
        <w:rPr>
          <w:rFonts w:ascii="Calibri" w:hAnsi="Calibri"/>
          <w:i w:val="0"/>
          <w:color w:val="141B2E"/>
          <w:sz w:val="21"/>
        </w:rPr>
        <w:t xml:space="preserve"> (reconstruction error above 2× p999), and the dominant residual points at the right sensor group;</w:t>
      </w:r>
    </w:p>
    <w:p>
      <w:pPr>
        <w:pStyle w:val="ListBullet"/>
        <w:spacing w:after="60" w:line="269" w:lineRule="auto"/>
        <w:ind w:left="403"/>
      </w:pPr>
      <w:r>
        <w:rPr>
          <w:rFonts w:ascii="Calibri" w:hAnsi="Calibri"/>
          <w:i w:val="0"/>
          <w:color w:val="141B2E"/>
          <w:sz w:val="21"/>
        </w:rPr>
        <w:t>the bundle is written and valid (labelFree=true, labelsUsed=0, safetyMode=ADVISORY).</w:t>
      </w:r>
    </w:p>
    <w:p>
      <w:pPr>
        <w:spacing w:after="120"/>
      </w:pPr>
      <w:r>
        <w:rPr>
          <w:rFonts w:ascii="Calibri" w:hAnsi="Calibri"/>
          <w:i w:val="0"/>
          <w:color w:val="141B2E"/>
          <w:sz w:val="21"/>
        </w:rPr>
        <w:t xml:space="preserve">The runtime behaviour — evidence accumulation, feedback adaptation, the gate — is validated separately by the Java suite </w:t>
      </w:r>
      <w:r>
        <w:rPr>
          <w:rFonts w:ascii="Consolas" w:hAnsi="Consolas"/>
          <w:color w:val="102A54"/>
          <w:sz w:val="20"/>
        </w:rPr>
        <w:t>SelfSupervisedMaintenanceModuleTest</w:t>
      </w:r>
      <w:r>
        <w:rPr>
          <w:rFonts w:ascii="Calibri" w:hAnsi="Calibri"/>
          <w:i w:val="0"/>
          <w:color w:val="141B2E"/>
          <w:sz w:val="21"/>
        </w:rPr>
        <w:t xml:space="preserve"> (14 tests). Run it with </w:t>
      </w:r>
      <w:r>
        <w:rPr>
          <w:rFonts w:ascii="Consolas" w:hAnsi="Consolas"/>
          <w:color w:val="102A54"/>
          <w:sz w:val="20"/>
        </w:rPr>
        <w:t>mvn -pl worker -Dtest=SelfSupervisedMaintenanceModuleTest test</w:t>
      </w:r>
      <w:r>
        <w:rPr>
          <w:rFonts w:ascii="Calibri" w:hAnsi="Calibri"/>
          <w:i w:val="0"/>
          <w:color w:val="141B2E"/>
          <w:sz w:val="21"/>
        </w:rPr>
        <w:t>.</w:t>
      </w:r>
    </w:p>
    <w:p>
      <w:pPr>
        <w:keepNext/>
        <w:spacing w:before="320" w:after="40"/>
        <w:pBdr>
          <w:bottom w:val="single" w:sz="10" w:space="4" w:color="0E7C86"/>
        </w:pBdr>
      </w:pPr>
      <w:r>
        <w:rPr>
          <w:rFonts w:ascii="Calibri" w:hAnsi="Calibri"/>
          <w:b/>
          <w:color w:val="0E7C86"/>
          <w:sz w:val="34"/>
        </w:rPr>
        <w:t xml:space="preserve">9  </w:t>
      </w:r>
      <w:r>
        <w:rPr>
          <w:rFonts w:ascii="Calibri" w:hAnsi="Calibri"/>
          <w:b/>
          <w:color w:val="102A54"/>
          <w:sz w:val="34"/>
        </w:rPr>
        <w:t>Step 6 — the hand-off to deployment</w:t>
      </w:r>
    </w:p>
    <w:p>
      <w:pPr>
        <w:spacing w:after="120"/>
      </w:pPr>
      <w:r>
        <w:rPr>
          <w:rFonts w:ascii="Calibri" w:hAnsi="Calibri"/>
          <w:i w:val="0"/>
          <w:color w:val="141B2E"/>
          <w:sz w:val="21"/>
        </w:rPr>
        <w:t>Training is done when the bundle directory is written and the tests pass. The Deployment Guide takes it from there: it loads the same bundle with the Entry runner, wires your OPC UA / MQTT telemetry to AssetTelemetrySignal and your operator feedback to OperatorFeedbackSignal, and starts producing advisories.</w:t>
      </w:r>
    </w:p>
    <w:p>
      <w:pPr>
        <w:keepNext/>
        <w:spacing w:before="320" w:after="40"/>
        <w:pBdr>
          <w:bottom w:val="single" w:sz="10" w:space="4" w:color="0E7C86"/>
        </w:pBdr>
      </w:pPr>
      <w:r>
        <w:rPr>
          <w:rFonts w:ascii="Calibri" w:hAnsi="Calibri"/>
          <w:b/>
          <w:color w:val="0E7C86"/>
          <w:sz w:val="34"/>
        </w:rPr>
        <w:t xml:space="preserve">10  </w:t>
      </w:r>
      <w:r>
        <w:rPr>
          <w:rFonts w:ascii="Calibri" w:hAnsi="Calibri"/>
          <w:b/>
          <w:color w:val="102A54"/>
          <w:sz w:val="34"/>
        </w:rPr>
        <w:t>Retraining and drift</w:t>
      </w:r>
    </w:p>
    <w:p>
      <w:pPr>
        <w:spacing w:after="120"/>
      </w:pPr>
      <w:r>
        <w:rPr>
          <w:rFonts w:ascii="Calibri" w:hAnsi="Calibri"/>
          <w:i w:val="0"/>
          <w:color w:val="141B2E"/>
          <w:sz w:val="21"/>
        </w:rPr>
        <w:t>Refit the baselines when the plant genuinely changes (new product, rebuild, seasonal shift) — not on every blip. Day-to-day adaptation is handled at runtime by the feedback loop, which needs no retraining and no redeploy. A practical cadence: refit the standardisation and baselines on a rolling healthy window monthly or after a known change, and let the online loop handle the rest.</w:t>
      </w:r>
    </w:p>
    <w:p>
      <w:pPr>
        <w:keepNext/>
        <w:spacing w:before="320" w:after="40"/>
        <w:pBdr>
          <w:bottom w:val="single" w:sz="10" w:space="4" w:color="0E7C86"/>
        </w:pBdr>
      </w:pPr>
      <w:r>
        <w:rPr>
          <w:rFonts w:ascii="Calibri" w:hAnsi="Calibri"/>
          <w:b/>
          <w:color w:val="0E7C86"/>
          <w:sz w:val="34"/>
        </w:rPr>
        <w:t xml:space="preserve">11  </w:t>
      </w:r>
      <w:r>
        <w:rPr>
          <w:rFonts w:ascii="Calibri" w:hAnsi="Calibri"/>
          <w:b/>
          <w:color w:val="102A54"/>
          <w:sz w:val="34"/>
        </w:rPr>
        <w:t>Troubleshooting</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0E7C86"/>
            <w:tcMar>
              <w:top w:w="60" w:type="dxa"/>
              <w:bottom w:w="60" w:type="dxa"/>
              <w:start w:w="110" w:type="dxa"/>
              <w:end w:w="110" w:type="dxa"/>
            </w:tcMar>
            <w:vAlign w:val="center"/>
          </w:tcPr>
          <w:p>
            <w:pPr>
              <w:spacing w:after="0"/>
            </w:pPr>
            <w:r>
              <w:rPr>
                <w:rFonts w:ascii="Calibri" w:hAnsi="Calibri"/>
                <w:b/>
                <w:color w:val="FFFFFF"/>
                <w:sz w:val="19"/>
              </w:rPr>
              <w:t>Symptom</w:t>
            </w:r>
          </w:p>
        </w:tc>
        <w:tc>
          <w:tcPr>
            <w:tcW w:type="dxa" w:w="3456"/>
            <w:shd w:val="clear" w:color="auto" w:fill="0E7C86"/>
            <w:tcMar>
              <w:top w:w="60" w:type="dxa"/>
              <w:bottom w:w="60" w:type="dxa"/>
              <w:start w:w="110" w:type="dxa"/>
              <w:end w:w="110" w:type="dxa"/>
            </w:tcMar>
            <w:vAlign w:val="center"/>
          </w:tcPr>
          <w:p>
            <w:pPr>
              <w:spacing w:after="0"/>
            </w:pPr>
            <w:r>
              <w:rPr>
                <w:rFonts w:ascii="Calibri" w:hAnsi="Calibri"/>
                <w:b/>
                <w:color w:val="FFFFFF"/>
                <w:sz w:val="19"/>
              </w:rPr>
              <w:t>Likely cause</w:t>
            </w:r>
          </w:p>
        </w:tc>
        <w:tc>
          <w:tcPr>
            <w:tcW w:type="dxa" w:w="3456"/>
            <w:shd w:val="clear" w:color="auto" w:fill="0E7C86"/>
            <w:tcMar>
              <w:top w:w="60" w:type="dxa"/>
              <w:bottom w:w="60" w:type="dxa"/>
              <w:start w:w="110" w:type="dxa"/>
              <w:end w:w="110" w:type="dxa"/>
            </w:tcMar>
            <w:vAlign w:val="center"/>
          </w:tcPr>
          <w:p>
            <w:pPr>
              <w:spacing w:after="0"/>
            </w:pPr>
            <w:r>
              <w:rPr>
                <w:rFonts w:ascii="Calibri" w:hAnsi="Calibri"/>
                <w:b/>
                <w:color w:val="FFFFFF"/>
                <w:sz w:val="19"/>
              </w:rPr>
              <w:t>Fix</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Healthy assets flag often</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Training window wasn't healthy</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Exclude faulty periods; refit</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 fault isn't separated</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Sensor coupling too weak / missing channel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Add the coupled channel</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Everything reads uncertain</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Data unlike training (domain shift)</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Refit on representative data</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Percentiles look wrong</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Too few ticks per regime</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Give each regime enough samples</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12  </w:t>
      </w:r>
      <w:r>
        <w:rPr>
          <w:rFonts w:ascii="Calibri" w:hAnsi="Calibri"/>
          <w:b/>
          <w:color w:val="102A54"/>
          <w:sz w:val="34"/>
        </w:rPr>
        <w:t>Appendix — training cheat-sheet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 fit + emit bundle</w:t>
            </w:r>
          </w:p>
          <w:p>
            <w:pPr>
              <w:spacing w:after="0" w:line="254" w:lineRule="auto"/>
            </w:pPr>
            <w:r>
              <w:rPr>
                <w:rFonts w:ascii="Consolas" w:hAnsi="Consolas"/>
                <w:color w:val="D6E7C8"/>
                <w:sz w:val="18"/>
              </w:rPr>
              <w:t>python scripts/demo-self-supervised-maintenance/train_ss_maintenance_model.py</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python tests (trainer + label-free separation)</w:t>
            </w:r>
          </w:p>
          <w:p>
            <w:pPr>
              <w:spacing w:after="0" w:line="254" w:lineRule="auto"/>
            </w:pPr>
            <w:r>
              <w:rPr>
                <w:rFonts w:ascii="Consolas" w:hAnsi="Consolas"/>
                <w:color w:val="D6E7C8"/>
                <w:sz w:val="18"/>
              </w:rPr>
              <w:t>python -m unittest tests.test_ss_maintenance</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java runtime tests</w:t>
            </w:r>
          </w:p>
          <w:p>
            <w:pPr>
              <w:spacing w:after="0" w:line="254" w:lineRule="auto"/>
            </w:pPr>
            <w:r>
              <w:rPr>
                <w:rFonts w:ascii="Consolas" w:hAnsi="Consolas"/>
                <w:color w:val="D6E7C8"/>
                <w:sz w:val="18"/>
              </w:rPr>
              <w:t>mvn -pl worker -Dtest=SelfSupervisedMaintenanceModuleTest test</w:t>
            </w:r>
          </w:p>
        </w:tc>
      </w:tr>
    </w:tbl>
    <w:p>
      <w:pPr>
        <w:spacing w:after="0" w:before="0"/>
      </w:pPr>
      <w:r>
        <w:rPr>
          <w:sz w:val="8"/>
        </w:rPr>
      </w:r>
    </w:p>
    <w:p>
      <w:pPr>
        <w:spacing w:after="120"/>
      </w:pPr>
      <w:r>
        <w:rPr>
          <w:rFonts w:ascii="Calibri" w:hAnsi="Calibri"/>
          <w:i/>
          <w:color w:val="0E7C86"/>
          <w:sz w:val="21"/>
        </w:rPr>
        <w:t>Training here means fitting 'normal' from telemetry and emitting a deployable network — with zero labels. Everything about a specific failure is learned later, at runtime, from operator feedback.</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Self-Supervised Maintenance Guardian · Label-free predictive maintenance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