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102A54"/>
            <w:tcMar>
              <w:top w:w="260" w:type="dxa"/>
              <w:bottom w:w="260" w:type="dxa"/>
              <w:start w:w="240" w:type="dxa"/>
              <w:end w:w="2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8FC2F0"/>
                <w:sz w:val="22"/>
              </w:rPr>
              <w:t>JNEOPALLIUM · SELF-SUPERVISED MAINTENANCE GUARDIAN</w:t>
            </w:r>
          </w:p>
          <w:p>
            <w:pPr>
              <w:spacing w:after="40"/>
            </w:pPr>
            <w:r>
              <w:rPr>
                <w:rFonts w:ascii="Calibri" w:hAnsi="Calibri"/>
                <w:color w:val="B9C6DA"/>
                <w:sz w:val="18"/>
              </w:rPr>
              <w:t>ПОСІБНИК З НАВЧАННЯ</w:t>
            </w:r>
          </w:p>
        </w:tc>
      </w:tr>
    </w:tbl>
    <w:p>
      <w:pPr>
        <w:spacing w:after="0" w:before="0"/>
      </w:pPr>
      <w:r>
        <w:rPr>
          <w:sz w:val="40"/>
        </w:rPr>
      </w:r>
    </w:p>
    <w:p>
      <w:pPr>
        <w:spacing w:after="80"/>
      </w:pPr>
      <w:r>
        <w:rPr>
          <w:rFonts w:ascii="Calibri" w:hAnsi="Calibri"/>
          <w:b/>
          <w:color w:val="102A54"/>
          <w:sz w:val="60"/>
        </w:rPr>
        <w:t>Посібник з навчання</w:t>
      </w:r>
    </w:p>
    <w:p>
      <w:pPr>
        <w:spacing w:after="200"/>
      </w:pPr>
      <w:r>
        <w:rPr>
          <w:rFonts w:ascii="Calibri" w:hAnsi="Calibri"/>
          <w:color w:val="1C5D99"/>
          <w:sz w:val="28"/>
        </w:rPr>
        <w:t>Припасуйте параметри без міток із телеметрії та згенеруйте розгортувану мережу — історія відмов не потрібна</w:t>
      </w:r>
    </w:p>
    <w:p>
      <w:pPr>
        <w:pBdr>
          <w:bottom w:val="single" w:sz="10" w:space="4" w:color="0E7C86"/>
        </w:pBdr>
      </w:pPr>
    </w:p>
    <w:p>
      <w:pPr>
        <w:spacing w:after="0" w:before="0"/>
      </w:pPr>
      <w:r>
        <w:rPr>
          <w:sz w:val="16"/>
        </w:rPr>
      </w:r>
    </w:p>
    <w:p>
      <w:pPr>
        <w:spacing w:after="120"/>
      </w:pPr>
      <w:r>
        <w:rPr>
          <w:rFonts w:ascii="Calibri" w:hAnsi="Calibri"/>
          <w:i/>
          <w:color w:val="555F70"/>
          <w:sz w:val="23"/>
        </w:rPr>
        <w:t>Покроковий огляд навчальної частини: що припасовує тренер, як його запустити, як підключити власні дані історіана, як перевірити результат і де саме навчання передає естафету розгортанню. Python тут лише для початкового припасування; середовище виконання — Java.</w:t>
      </w:r>
    </w:p>
    <w:p>
      <w:pPr>
        <w:spacing w:after="0" w:before="0"/>
      </w:pPr>
      <w:r>
        <w:rPr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86"/>
        <w:gridCol w:w="4586"/>
      </w:tblGrid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Документ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Посібник з навчання моделі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Продукт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Jneopallium Self-Supervised Maintenance Guardian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Тренер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scripts/demo-self-supervised-maintenance/train_ss_maintenance_model.py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Використано міток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0 (самокероване)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Вихід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Розгортувана збірка Jneopallium (дескриптор + контекст + шари)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Автор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Дмитро Раковський — Харків, Україна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Дата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2 липня 2026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Ліцензія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BSD 3-Clause</w:t>
            </w:r>
          </w:p>
        </w:tc>
      </w:tr>
    </w:tbl>
    <w:p>
      <w:r>
        <w:br w:type="page"/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102A54"/>
          <w:sz w:val="34"/>
        </w:rPr>
        <w:t>Зміст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1.  </w:t>
      </w:r>
      <w:r>
        <w:rPr>
          <w:rFonts w:ascii="Calibri" w:hAnsi="Calibri"/>
          <w:color w:val="141B2E"/>
          <w:sz w:val="21"/>
        </w:rPr>
        <w:t>Чого ви досягнете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2.  </w:t>
      </w:r>
      <w:r>
        <w:rPr>
          <w:rFonts w:ascii="Calibri" w:hAnsi="Calibri"/>
          <w:color w:val="141B2E"/>
          <w:sz w:val="21"/>
        </w:rPr>
        <w:t>Де закінчується навчання і починається розгортання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3.  </w:t>
      </w:r>
      <w:r>
        <w:rPr>
          <w:rFonts w:ascii="Calibri" w:hAnsi="Calibri"/>
          <w:color w:val="141B2E"/>
          <w:sz w:val="21"/>
        </w:rPr>
        <w:t>Передумови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4.  </w:t>
      </w:r>
      <w:r>
        <w:rPr>
          <w:rFonts w:ascii="Calibri" w:hAnsi="Calibri"/>
          <w:color w:val="141B2E"/>
          <w:sz w:val="21"/>
        </w:rPr>
        <w:t>Крок 1 — запустити тренер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5.  </w:t>
      </w:r>
      <w:r>
        <w:rPr>
          <w:rFonts w:ascii="Calibri" w:hAnsi="Calibri"/>
          <w:color w:val="141B2E"/>
          <w:sz w:val="21"/>
        </w:rPr>
        <w:t>Крок 2 — що він припасував (параметри)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6.  </w:t>
      </w:r>
      <w:r>
        <w:rPr>
          <w:rFonts w:ascii="Calibri" w:hAnsi="Calibri"/>
          <w:color w:val="141B2E"/>
          <w:sz w:val="21"/>
        </w:rPr>
        <w:t>Крок 3 — збірка, яку він створив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7.  </w:t>
      </w:r>
      <w:r>
        <w:rPr>
          <w:rFonts w:ascii="Calibri" w:hAnsi="Calibri"/>
          <w:color w:val="141B2E"/>
          <w:sz w:val="21"/>
        </w:rPr>
        <w:t>Крок 4 — підключити власні дані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8.  </w:t>
      </w:r>
      <w:r>
        <w:rPr>
          <w:rFonts w:ascii="Calibri" w:hAnsi="Calibri"/>
          <w:color w:val="141B2E"/>
          <w:sz w:val="21"/>
        </w:rPr>
        <w:t>Крок 5 — перевірити тестами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9.  </w:t>
      </w:r>
      <w:r>
        <w:rPr>
          <w:rFonts w:ascii="Calibri" w:hAnsi="Calibri"/>
          <w:color w:val="141B2E"/>
          <w:sz w:val="21"/>
        </w:rPr>
        <w:t>Крок 6 — передача до розгортання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10.  </w:t>
      </w:r>
      <w:r>
        <w:rPr>
          <w:rFonts w:ascii="Calibri" w:hAnsi="Calibri"/>
          <w:color w:val="141B2E"/>
          <w:sz w:val="21"/>
        </w:rPr>
        <w:t>Перенавчання та дрейф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11.  </w:t>
      </w:r>
      <w:r>
        <w:rPr>
          <w:rFonts w:ascii="Calibri" w:hAnsi="Calibri"/>
          <w:color w:val="141B2E"/>
          <w:sz w:val="21"/>
        </w:rPr>
        <w:t>Усунення несправностей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12.  </w:t>
      </w:r>
      <w:r>
        <w:rPr>
          <w:rFonts w:ascii="Calibri" w:hAnsi="Calibri"/>
          <w:color w:val="141B2E"/>
          <w:sz w:val="21"/>
        </w:rPr>
        <w:t>Додаток — шпаргалка навчання</w:t>
      </w:r>
    </w:p>
    <w:p>
      <w:r>
        <w:br w:type="page"/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  </w:t>
      </w:r>
      <w:r>
        <w:rPr>
          <w:rFonts w:ascii="Calibri" w:hAnsi="Calibri"/>
          <w:b/>
          <w:color w:val="102A54"/>
          <w:sz w:val="34"/>
        </w:rPr>
        <w:t>Чого ви досягнете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Наприкінці ви матимете набір припасованих параметрів без міток — стандартизацію за режимами, ваги міжсенсорного відновлення та перцентилі базового рівня здоров'я — записаних у повну розгортувану збірку Jneopallium, з якої середовище Java завантажується напряму. Мітки відмов не використовуються на жодному етапі.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BF1E0"/>
          <w:left w:val="single" w:sz="4" w:space="0" w:color="FBF1E0"/>
          <w:bottom w:val="single" w:sz="4" w:space="0" w:color="FBF1E0"/>
          <w:right w:val="single" w:sz="4" w:space="0" w:color="FBF1E0"/>
          <w:insideH w:val="single" w:sz="4" w:space="0" w:color="FBF1E0"/>
          <w:insideV w:val="single" w:sz="4" w:space="0" w:color="FBF1E0"/>
        </w:tblBorders>
      </w:tblPr>
      <w:tblGrid>
        <w:gridCol w:w="9173"/>
      </w:tblGrid>
      <w:tr>
        <w:tc>
          <w:tcPr>
            <w:tcW w:type="dxa" w:w="9173"/>
            <w:shd w:val="clear" w:color="auto" w:fill="FBF1E0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C88A1A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C88A1A"/>
                <w:sz w:val="21"/>
              </w:rPr>
              <w:t>Стеля безпеки стосується й навчання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Ніщо, що створює тренер, не може керувати пристроєм. Отримана модель є рекомендаційною за побудовою (SsMaintConfig забороняє це вимкнути), а тяжкість калібрується за здоровою історією — ніколи за розміченими відмовами, бо їх немає.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2  </w:t>
      </w:r>
      <w:r>
        <w:rPr>
          <w:rFonts w:ascii="Calibri" w:hAnsi="Calibri"/>
          <w:b/>
          <w:color w:val="102A54"/>
          <w:sz w:val="34"/>
        </w:rPr>
        <w:t>Де закінчується навчання і починається розгортання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3058"/>
        <w:gridCol w:w="3058"/>
        <w:gridCol w:w="3058"/>
      </w:tblGrid>
      <w:tr>
        <w:tc>
          <w:tcPr>
            <w:tcW w:type="dxa" w:w="2736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Фаза</w:t>
            </w:r>
          </w:p>
        </w:tc>
        <w:tc>
          <w:tcPr>
            <w:tcW w:type="dxa" w:w="4752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Що відбувається</w:t>
            </w:r>
          </w:p>
        </w:tc>
        <w:tc>
          <w:tcPr>
            <w:tcW w:type="dxa" w:w="2304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Документ</w:t>
            </w:r>
          </w:p>
        </w:tc>
      </w:tr>
      <w:tr>
        <w:tc>
          <w:tcPr>
            <w:tcW w:type="dxa" w:w="273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E"/>
                <w:sz w:val="19"/>
              </w:rPr>
              <w:t>Навчання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(цей посібник)</w:t>
            </w:r>
          </w:p>
        </w:tc>
        <w:tc>
          <w:tcPr>
            <w:tcW w:type="dxa" w:w="475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Припасувати стандартизацію, ваги, базові рівні; згенерувати збірку</w:t>
            </w:r>
          </w:p>
        </w:tc>
        <w:tc>
          <w:tcPr>
            <w:tcW w:type="dxa" w:w="230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Посібник з навчання</w:t>
            </w:r>
          </w:p>
        </w:tc>
      </w:tr>
      <w:tr>
        <w:tc>
          <w:tcPr>
            <w:tcW w:type="dxa" w:w="273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E"/>
                <w:sz w:val="19"/>
              </w:rPr>
              <w:t>Розгортання</w:t>
            </w:r>
          </w:p>
        </w:tc>
        <w:tc>
          <w:tcPr>
            <w:tcW w:type="dxa" w:w="475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Завантажити збірку, підключити телеметрію + зворотний зв'язок, запустити скорер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Посібник з розгортання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Естафета — це один каталог: worker/src/main/resources/model/self-supervised-maintenance/. Навчання </w:t>
      </w:r>
      <w:r>
        <w:rPr>
          <w:rFonts w:ascii="Calibri" w:hAnsi="Calibri"/>
          <w:b/>
          <w:i w:val="0"/>
          <w:color w:val="141B2E"/>
          <w:sz w:val="21"/>
        </w:rPr>
        <w:t>записує</w:t>
      </w:r>
      <w:r>
        <w:rPr>
          <w:rFonts w:ascii="Calibri" w:hAnsi="Calibri"/>
          <w:i w:val="0"/>
          <w:color w:val="141B2E"/>
          <w:sz w:val="21"/>
        </w:rPr>
        <w:t xml:space="preserve"> його; розгортання </w:t>
      </w:r>
      <w:r>
        <w:rPr>
          <w:rFonts w:ascii="Calibri" w:hAnsi="Calibri"/>
          <w:b/>
          <w:i w:val="0"/>
          <w:color w:val="141B2E"/>
          <w:sz w:val="21"/>
        </w:rPr>
        <w:t>читає</w:t>
      </w:r>
      <w:r>
        <w:rPr>
          <w:rFonts w:ascii="Calibri" w:hAnsi="Calibri"/>
          <w:i w:val="0"/>
          <w:color w:val="141B2E"/>
          <w:sz w:val="21"/>
        </w:rPr>
        <w:t xml:space="preserve"> його.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3  </w:t>
      </w:r>
      <w:r>
        <w:rPr>
          <w:rFonts w:ascii="Calibri" w:hAnsi="Calibri"/>
          <w:b/>
          <w:color w:val="102A54"/>
          <w:sz w:val="34"/>
        </w:rPr>
        <w:t>Передумови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Python 3.9+ (лише стандартна бібліотека — pip install не потрібен).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JDK 17 і Maven, якщо ви також хочете запускати Java-тести середовища виконання.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Репозиторій клоновано; команди нижче виконуються з кореня репозиторію.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4  </w:t>
      </w:r>
      <w:r>
        <w:rPr>
          <w:rFonts w:ascii="Calibri" w:hAnsi="Calibri"/>
          <w:b/>
          <w:color w:val="102A54"/>
          <w:sz w:val="34"/>
        </w:rPr>
        <w:t>Крок 1 — запустити тренер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cd scripts/demo-self-supervised-maintenance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python train_ss_maintenance_model.py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Очікуваний вивід (значення детерміновані для наявного синтетичного корпусу):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Self-Supervised Maintenance — initial (label-free) training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Trained on 6 assets x 2000 ticks, labels used: 0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Sensors                 : 8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Health baseline mean    : 0.7781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Health baseline p99     : 2.0808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Health baseline p999    : 2.7544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Neurons in bundle       : 4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Deployable bundle -&gt; worker/src/main/resources/model/self-supervised-maintenance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120"/>
      </w:pPr>
      <w:r>
        <w:rPr>
          <w:rFonts w:ascii="Consolas" w:hAnsi="Consolas"/>
          <w:color w:val="102A54"/>
          <w:sz w:val="20"/>
        </w:rPr>
        <w:t>run_all.sh</w:t>
      </w:r>
      <w:r>
        <w:rPr>
          <w:rFonts w:ascii="Calibri" w:hAnsi="Calibri"/>
          <w:i w:val="0"/>
          <w:color w:val="141B2E"/>
          <w:sz w:val="21"/>
        </w:rPr>
        <w:t xml:space="preserve"> (або </w:t>
      </w:r>
      <w:r>
        <w:rPr>
          <w:rFonts w:ascii="Consolas" w:hAnsi="Consolas"/>
          <w:color w:val="102A54"/>
          <w:sz w:val="20"/>
        </w:rPr>
        <w:t>run_all.ps1</w:t>
      </w:r>
      <w:r>
        <w:rPr>
          <w:rFonts w:ascii="Calibri" w:hAnsi="Calibri"/>
          <w:i w:val="0"/>
          <w:color w:val="141B2E"/>
          <w:sz w:val="21"/>
        </w:rPr>
        <w:t>) запускає тренер, а потім Python-тести за один прохід.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5  </w:t>
      </w:r>
      <w:r>
        <w:rPr>
          <w:rFonts w:ascii="Calibri" w:hAnsi="Calibri"/>
          <w:b/>
          <w:color w:val="102A54"/>
          <w:sz w:val="34"/>
        </w:rPr>
        <w:t>Крок 2 — що він припасував (параметри)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Усі три групи параметрів є самокерованими — припасованими лише з телеметрії, на довіреному здоровому вікні: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Стандартизація за режимами</w:t>
      </w:r>
      <w:r>
        <w:rPr>
          <w:rFonts w:ascii="Calibri" w:hAnsi="Calibri"/>
          <w:i w:val="0"/>
          <w:color w:val="141B2E"/>
          <w:sz w:val="21"/>
        </w:rPr>
        <w:t xml:space="preserve"> — середнє й стандартне відхилення кожного сенсора в кожному режимі, щоб оцінювати зчитування відносно навантаження.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Ваги міжсенсорного відновлення</w:t>
      </w:r>
      <w:r>
        <w:rPr>
          <w:rFonts w:ascii="Calibri" w:hAnsi="Calibri"/>
          <w:i w:val="0"/>
          <w:color w:val="141B2E"/>
          <w:sz w:val="21"/>
        </w:rPr>
        <w:t xml:space="preserve"> — для кожного сенсора модель гребеневої регресії, що передбачає його за іншими сенсорами. Це ядро без міток: ціль кожного припасування — інший сенсор, ніколи не мітка відмови.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Перцентилі базового рівня здоров'я</w:t>
      </w:r>
      <w:r>
        <w:rPr>
          <w:rFonts w:ascii="Calibri" w:hAnsi="Calibri"/>
          <w:i w:val="0"/>
          <w:color w:val="141B2E"/>
          <w:sz w:val="21"/>
        </w:rPr>
        <w:t xml:space="preserve"> — середнє, p95, p99 і p999 помилки відновлення на здоровому вікні, для калібрування тяжкості у власних одиницях активу.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AF1F9"/>
          <w:left w:val="single" w:sz="4" w:space="0" w:color="EAF1F9"/>
          <w:bottom w:val="single" w:sz="4" w:space="0" w:color="EAF1F9"/>
          <w:right w:val="single" w:sz="4" w:space="0" w:color="EAF1F9"/>
          <w:insideH w:val="single" w:sz="4" w:space="0" w:color="EAF1F9"/>
          <w:insideV w:val="single" w:sz="4" w:space="0" w:color="EAF1F9"/>
        </w:tblBorders>
      </w:tblPr>
      <w:tblGrid>
        <w:gridCol w:w="9173"/>
      </w:tblGrid>
      <w:tr>
        <w:tc>
          <w:tcPr>
            <w:tcW w:type="dxa" w:w="9173"/>
            <w:shd w:val="clear" w:color="auto" w:fill="EAF1F9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C5D99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C5D99"/>
                <w:sz w:val="21"/>
              </w:rPr>
              <w:t>Чому гребенева регресія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Невеликий гребеневий (L2) штраф тримає міжсенсорні моделі стабільними, коли сенсори корельовані — а на пов'язаній установці вони завжди такі. Розв'язувач — звичайне розв'язання нормальних рівнянь на чистому Python; сторонній пакет лінійної алгебри не потрібен.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6  </w:t>
      </w:r>
      <w:r>
        <w:rPr>
          <w:rFonts w:ascii="Calibri" w:hAnsi="Calibri"/>
          <w:b/>
          <w:color w:val="102A54"/>
          <w:sz w:val="34"/>
        </w:rPr>
        <w:t>Крок 3 — збірка, яку він створив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4176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Файл</w:t>
            </w:r>
          </w:p>
        </w:tc>
        <w:tc>
          <w:tcPr>
            <w:tcW w:type="dxa" w:w="4896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Призначення</w:t>
            </w:r>
          </w:p>
        </w:tc>
      </w:tr>
      <w:tr>
        <w:tc>
          <w:tcPr>
            <w:tcW w:type="dxa" w:w="417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model-descriptor.json</w:t>
            </w:r>
          </w:p>
        </w:tc>
        <w:tc>
          <w:tcPr>
            <w:tcW w:type="dxa" w:w="48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Маніфест: шари, сигнали, джерела даних, labelFree=true, labelsUsed=0</w:t>
            </w:r>
          </w:p>
        </w:tc>
      </w:tr>
      <w:tr>
        <w:tc>
          <w:tcPr>
            <w:tcW w:type="dxa" w:w="417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production-context.json</w:t>
            </w:r>
          </w:p>
        </w:tc>
        <w:tc>
          <w:tcPr>
            <w:tcW w:type="dxa" w:w="489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IContext для запускача Entry (класи нейронів, входи, агрегатор)</w:t>
            </w:r>
          </w:p>
        </w:tc>
      </w:tr>
      <w:tr>
        <w:tc>
          <w:tcPr>
            <w:tcW w:type="dxa" w:w="417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layer-0-input.json</w:t>
            </w:r>
          </w:p>
        </w:tc>
        <w:tc>
          <w:tcPr>
            <w:tcW w:type="dxa" w:w="48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Дескриптор прийому телеметрії + порядок сенсорів</w:t>
            </w:r>
          </w:p>
        </w:tc>
      </w:tr>
      <w:tr>
        <w:tc>
          <w:tcPr>
            <w:tcW w:type="dxa" w:w="417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layer-1-selfsupervisedhealth.json</w:t>
            </w:r>
          </w:p>
        </w:tc>
        <w:tc>
          <w:tcPr>
            <w:tcW w:type="dxa" w:w="489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Нейрон відновлення + припасовані ваги та стандартизація</w:t>
            </w:r>
          </w:p>
        </w:tc>
      </w:tr>
      <w:tr>
        <w:tc>
          <w:tcPr>
            <w:tcW w:type="dxa" w:w="417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layer-2-fusion.json</w:t>
            </w:r>
          </w:p>
        </w:tc>
        <w:tc>
          <w:tcPr>
            <w:tcW w:type="dxa" w:w="48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Нейрон гіпотези + базові перцентилі + константи поєднання</w:t>
            </w:r>
          </w:p>
        </w:tc>
      </w:tr>
      <w:tr>
        <w:tc>
          <w:tcPr>
            <w:tcW w:type="dxa" w:w="417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layer-3-onlinelearning.json</w:t>
            </w:r>
          </w:p>
        </w:tc>
        <w:tc>
          <w:tcPr>
            <w:tcW w:type="dxa" w:w="489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Нейрон адаптації + межі/обмеження частоти/заморожування</w:t>
            </w:r>
          </w:p>
        </w:tc>
      </w:tr>
      <w:tr>
        <w:tc>
          <w:tcPr>
            <w:tcW w:type="dxa" w:w="417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layer-4-advisorygate.json</w:t>
            </w:r>
          </w:p>
        </w:tc>
        <w:tc>
          <w:tcPr>
            <w:tcW w:type="dxa" w:w="48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Шлюз лише для читання + початкові пороги + вікно дедуплікації</w:t>
            </w:r>
          </w:p>
        </w:tc>
      </w:tr>
      <w:tr>
        <w:tc>
          <w:tcPr>
            <w:tcW w:type="dxa" w:w="417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fitted-model.json</w:t>
            </w:r>
          </w:p>
        </w:tc>
        <w:tc>
          <w:tcPr>
            <w:tcW w:type="dxa" w:w="489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Сирі припасовані параметри для аудиту / довідки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Файли шарів несуть параметри як поля нейронів, тож файли, що фіксують ваше припасування, — це файли, які прив'язує середовище виконання. Це віддзеркалює компонування збірки промислової моделі.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7  </w:t>
      </w:r>
      <w:r>
        <w:rPr>
          <w:rFonts w:ascii="Calibri" w:hAnsi="Calibri"/>
          <w:b/>
          <w:color w:val="102A54"/>
          <w:sz w:val="34"/>
        </w:rPr>
        <w:t>Крок 4 — підключити власні дані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Для реального майданчика замініть синтетичний генератор експортом свого історіана. Тренер читає список рядків по тактах через </w:t>
      </w:r>
      <w:r>
        <w:rPr>
          <w:rFonts w:ascii="Consolas" w:hAnsi="Consolas"/>
          <w:color w:val="102A54"/>
          <w:sz w:val="20"/>
        </w:rPr>
        <w:t>synth_telemetry.generate</w:t>
      </w:r>
      <w:r>
        <w:rPr>
          <w:rFonts w:ascii="Calibri" w:hAnsi="Calibri"/>
          <w:i w:val="0"/>
          <w:color w:val="141B2E"/>
          <w:sz w:val="21"/>
        </w:rPr>
        <w:t>; спрямуйте його на свої дані. Кожен канонічний рядок має містити: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 xml:space="preserve">Ті самі </w:t>
      </w:r>
      <w:r>
        <w:rPr>
          <w:rFonts w:ascii="Calibri" w:hAnsi="Calibri"/>
          <w:b/>
          <w:i w:val="0"/>
          <w:color w:val="141B2E"/>
          <w:sz w:val="21"/>
        </w:rPr>
        <w:t>назви сенсорів</w:t>
      </w:r>
      <w:r>
        <w:rPr>
          <w:rFonts w:ascii="Calibri" w:hAnsi="Calibri"/>
          <w:i w:val="0"/>
          <w:color w:val="141B2E"/>
          <w:sz w:val="21"/>
        </w:rPr>
        <w:t xml:space="preserve">, яких очікує модель (або відредагуйте </w:t>
      </w:r>
      <w:r>
        <w:rPr>
          <w:rFonts w:ascii="Consolas" w:hAnsi="Consolas"/>
          <w:color w:val="102A54"/>
          <w:sz w:val="20"/>
        </w:rPr>
        <w:t>SENSORS</w:t>
      </w:r>
      <w:r>
        <w:rPr>
          <w:rFonts w:ascii="Calibri" w:hAnsi="Calibri"/>
          <w:i w:val="0"/>
          <w:color w:val="141B2E"/>
          <w:sz w:val="21"/>
        </w:rPr>
        <w:t xml:space="preserve"> під свій набір тегів).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 xml:space="preserve">Цілочисельний стовпець </w:t>
      </w:r>
      <w:r>
        <w:rPr>
          <w:rFonts w:ascii="Calibri" w:hAnsi="Calibri"/>
          <w:b/>
          <w:i w:val="0"/>
          <w:color w:val="141B2E"/>
          <w:sz w:val="21"/>
        </w:rPr>
        <w:t>режиму</w:t>
      </w:r>
      <w:r>
        <w:rPr>
          <w:rFonts w:ascii="Calibri" w:hAnsi="Calibri"/>
          <w:i w:val="0"/>
          <w:color w:val="141B2E"/>
          <w:sz w:val="21"/>
        </w:rPr>
        <w:t xml:space="preserve"> (робоча точка / смуга навантаження). Якщо його немає — виведіть його зі смуги навантаження чи потужності.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Без міток.</w:t>
      </w:r>
      <w:r>
        <w:rPr>
          <w:rFonts w:ascii="Calibri" w:hAnsi="Calibri"/>
          <w:i w:val="0"/>
          <w:color w:val="141B2E"/>
          <w:sz w:val="21"/>
        </w:rPr>
        <w:t xml:space="preserve"> Вікно навчання має бути </w:t>
      </w:r>
      <w:r>
        <w:rPr>
          <w:rFonts w:ascii="Calibri" w:hAnsi="Calibri"/>
          <w:b/>
          <w:i w:val="0"/>
          <w:color w:val="141B2E"/>
          <w:sz w:val="21"/>
        </w:rPr>
        <w:t>переважно здоровим</w:t>
      </w:r>
      <w:r>
        <w:rPr>
          <w:rFonts w:ascii="Calibri" w:hAnsi="Calibri"/>
          <w:i w:val="0"/>
          <w:color w:val="141B2E"/>
          <w:sz w:val="21"/>
        </w:rPr>
        <w:t xml:space="preserve"> — це єдине важливе припущення. Якщо актив уже був несправним у цьому вікні, виключіть цей період, щоб він не отруїв «норму».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AF1F9"/>
          <w:left w:val="single" w:sz="4" w:space="0" w:color="EAF1F9"/>
          <w:bottom w:val="single" w:sz="4" w:space="0" w:color="EAF1F9"/>
          <w:right w:val="single" w:sz="4" w:space="0" w:color="EAF1F9"/>
          <w:insideH w:val="single" w:sz="4" w:space="0" w:color="EAF1F9"/>
          <w:insideV w:val="single" w:sz="4" w:space="0" w:color="EAF1F9"/>
        </w:tblBorders>
      </w:tblPr>
      <w:tblGrid>
        <w:gridCol w:w="9173"/>
      </w:tblGrid>
      <w:tr>
        <w:tc>
          <w:tcPr>
            <w:tcW w:type="dxa" w:w="9173"/>
            <w:shd w:val="clear" w:color="auto" w:fill="EAF1F9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C5D99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C5D99"/>
                <w:sz w:val="21"/>
              </w:rPr>
              <w:t>Базові рівні парку для холодного старту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Якщо в активу замало історії, щоб визначити власну норму, припасовуйте за спорідненими активами того ж режиму. Модель повідомляє зсув домену й невизначеність, тож незнайомий актив читається як «спостерігаю», а не робить упевнені заяви.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8  </w:t>
      </w:r>
      <w:r>
        <w:rPr>
          <w:rFonts w:ascii="Calibri" w:hAnsi="Calibri"/>
          <w:b/>
          <w:color w:val="102A54"/>
          <w:sz w:val="34"/>
        </w:rPr>
        <w:t>Крок 5 — перевірити тестами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cd scripts/demo-self-supervised-maintenance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python -m unittest tests.test_ss_maintenance -v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Python-тести підтверджують, що тренер створив надійну модель: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перцентилі базового рівня правильно впорядковані (mean &lt; p95 &lt; p99 &lt; p999);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усі ваги міжсенсорного відновлення скінченні;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здорові кадри рідко перевищують власний p99 активу (частка зайвих спрацювань нижче 5%);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кожне впроваджене сімейство несправностей відокремлюється від здорового базового рівня без міток</w:t>
      </w:r>
      <w:r>
        <w:rPr>
          <w:rFonts w:ascii="Calibri" w:hAnsi="Calibri"/>
          <w:i w:val="0"/>
          <w:color w:val="141B2E"/>
          <w:sz w:val="21"/>
        </w:rPr>
        <w:t xml:space="preserve"> (помилка відновлення понад 2× p999), і домінантний залишок вказує на правильну групу сенсорів;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збірка записана й валідна (labelFree=true, labelsUsed=0, safetyMode=ADVISORY).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Поведінку середовища виконання — накопичення свідчень, адаптацію зворотного зв'язку, шлюз — перевіряє окремо Java-набір </w:t>
      </w:r>
      <w:r>
        <w:rPr>
          <w:rFonts w:ascii="Consolas" w:hAnsi="Consolas"/>
          <w:color w:val="102A54"/>
          <w:sz w:val="20"/>
        </w:rPr>
        <w:t>SelfSupervisedMaintenanceModuleTest</w:t>
      </w:r>
      <w:r>
        <w:rPr>
          <w:rFonts w:ascii="Calibri" w:hAnsi="Calibri"/>
          <w:i w:val="0"/>
          <w:color w:val="141B2E"/>
          <w:sz w:val="21"/>
        </w:rPr>
        <w:t xml:space="preserve"> (14 тестів). Запустіть його через </w:t>
      </w:r>
      <w:r>
        <w:rPr>
          <w:rFonts w:ascii="Consolas" w:hAnsi="Consolas"/>
          <w:color w:val="102A54"/>
          <w:sz w:val="20"/>
        </w:rPr>
        <w:t>mvn -pl worker -Dtest=SelfSupervisedMaintenanceModuleTest test</w:t>
      </w:r>
      <w:r>
        <w:rPr>
          <w:rFonts w:ascii="Calibri" w:hAnsi="Calibri"/>
          <w:i w:val="0"/>
          <w:color w:val="141B2E"/>
          <w:sz w:val="21"/>
        </w:rPr>
        <w:t>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9  </w:t>
      </w:r>
      <w:r>
        <w:rPr>
          <w:rFonts w:ascii="Calibri" w:hAnsi="Calibri"/>
          <w:b/>
          <w:color w:val="102A54"/>
          <w:sz w:val="34"/>
        </w:rPr>
        <w:t>Крок 6 — передача до розгортання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Навчання завершене, коли каталог збірки записаний і тести проходять. Далі за справу береться посібник з розгортання: він завантажує ту саму збірку запускачем Entry, підключає вашу телеметрію OPC UA / MQTT до AssetTelemetrySignal, а зворотний зв'язок операторів до OperatorFeedbackSignal, і починає видавати рекомендації.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10  </w:t>
      </w:r>
      <w:r>
        <w:rPr>
          <w:rFonts w:ascii="Calibri" w:hAnsi="Calibri"/>
          <w:b/>
          <w:color w:val="102A54"/>
          <w:sz w:val="34"/>
        </w:rPr>
        <w:t>Перенавчання та дрейф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Перепасовуйте базові рівні, коли установка справді змінюється (новий продукт, капремонт, сезонний зсув) — а не на кожному сплеску. Щоденну адаптацію виконує під час роботи цикл зворотного зв'язку, якому не потрібні перенавчання чи переустановлення. Практичний ритм: перепасовувати стандартизацію й базові рівні на ковзному здоровому вікні щомісяця або після відомої зміни, а решту хай робить онлайн-цикл.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11  </w:t>
      </w:r>
      <w:r>
        <w:rPr>
          <w:rFonts w:ascii="Calibri" w:hAnsi="Calibri"/>
          <w:b/>
          <w:color w:val="102A54"/>
          <w:sz w:val="34"/>
        </w:rPr>
        <w:t>Усунення несправностей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3058"/>
        <w:gridCol w:w="3058"/>
        <w:gridCol w:w="3058"/>
      </w:tblGrid>
      <w:tr>
        <w:tc>
          <w:tcPr>
            <w:tcW w:type="dxa" w:w="2736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Симптом</w:t>
            </w:r>
          </w:p>
        </w:tc>
        <w:tc>
          <w:tcPr>
            <w:tcW w:type="dxa" w:w="3456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Ймовірна причина</w:t>
            </w:r>
          </w:p>
        </w:tc>
        <w:tc>
          <w:tcPr>
            <w:tcW w:type="dxa" w:w="3456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Виправлення</w:t>
            </w:r>
          </w:p>
        </w:tc>
      </w:tr>
      <w:tr>
        <w:tc>
          <w:tcPr>
            <w:tcW w:type="dxa" w:w="273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Здорові активи часто сигналять</w:t>
            </w:r>
          </w:p>
        </w:tc>
        <w:tc>
          <w:tcPr>
            <w:tcW w:type="dxa" w:w="345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Вікно навчання не було здоровим</w:t>
            </w:r>
          </w:p>
        </w:tc>
        <w:tc>
          <w:tcPr>
            <w:tcW w:type="dxa" w:w="345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Виключити несправні періоди</w:t>
            </w:r>
          </w:p>
        </w:tc>
      </w:tr>
      <w:tr>
        <w:tc>
          <w:tcPr>
            <w:tcW w:type="dxa" w:w="273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Несправність не відокремлюється</w:t>
            </w:r>
          </w:p>
        </w:tc>
        <w:tc>
          <w:tcPr>
            <w:tcW w:type="dxa" w:w="345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Слабкий зв'язок / відсутній канал</w:t>
            </w:r>
          </w:p>
        </w:tc>
        <w:tc>
          <w:tcPr>
            <w:tcW w:type="dxa" w:w="345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Додати пов'язаний канал</w:t>
            </w:r>
          </w:p>
        </w:tc>
      </w:tr>
      <w:tr>
        <w:tc>
          <w:tcPr>
            <w:tcW w:type="dxa" w:w="273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Усе читається як невизначене</w:t>
            </w:r>
          </w:p>
        </w:tc>
        <w:tc>
          <w:tcPr>
            <w:tcW w:type="dxa" w:w="345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Дані не схожі на навчальні (зсув)</w:t>
            </w:r>
          </w:p>
        </w:tc>
        <w:tc>
          <w:tcPr>
            <w:tcW w:type="dxa" w:w="345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Перепасувати на типових даних</w:t>
            </w:r>
          </w:p>
        </w:tc>
      </w:tr>
      <w:tr>
        <w:tc>
          <w:tcPr>
            <w:tcW w:type="dxa" w:w="273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Перцентилі виглядають хибними</w:t>
            </w:r>
          </w:p>
        </w:tc>
        <w:tc>
          <w:tcPr>
            <w:tcW w:type="dxa" w:w="345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Замало тактів на режим</w:t>
            </w:r>
          </w:p>
        </w:tc>
        <w:tc>
          <w:tcPr>
            <w:tcW w:type="dxa" w:w="345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Дати кожному режиму досить вибірки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12  </w:t>
      </w:r>
      <w:r>
        <w:rPr>
          <w:rFonts w:ascii="Calibri" w:hAnsi="Calibri"/>
          <w:b/>
          <w:color w:val="102A54"/>
          <w:sz w:val="34"/>
        </w:rPr>
        <w:t>Додаток — шпаргалка навчання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# припасувати + згенерувати збірку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python scripts/demo-self-supervised-maintenance/train_ss_maintenance_model.py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# python-тести (тренер + відокремлення без міток)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python -m unittest tests.test_ss_maintenance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# java-тести середовища виконання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mvn -pl worker -Dtest=SelfSupervisedMaintenanceModuleTest test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120"/>
      </w:pPr>
      <w:r>
        <w:rPr>
          <w:rFonts w:ascii="Calibri" w:hAnsi="Calibri"/>
          <w:i/>
          <w:color w:val="0E7C86"/>
          <w:sz w:val="21"/>
        </w:rPr>
        <w:t>Навчання тут означає припасування «норми» з телеметрії та генерацію розгортуваної мережі — з нульом міток. Усе про конкретну відмову вивчається пізніше, під час роботи, зі зворотного зв'язку операторів.</w:t>
      </w:r>
    </w:p>
    <w:sectPr w:rsidR="00FC693F" w:rsidRPr="0006063C" w:rsidSect="00034616">
      <w:footerReference w:type="default" r:id="rId9"/>
      <w:pgSz w:w="11909" w:h="16834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8A93A6"/>
        <w:sz w:val="16"/>
      </w:rPr>
      <w:t>Jneopallium · Self-Supervised Maintenance Guardian · Прогнозне обслуговування без міток · ADVISORY</w:t>
    </w:r>
    <w:r>
      <w:rPr>
        <w:sz w:val="16"/>
      </w:rPr>
      <w:t xml:space="preserve">    </w:t>
    </w:r>
    <w:r>
      <w:rPr>
        <w:color w:val="8A93A6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41B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